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B02FB" w14:textId="3D0081C0" w:rsidR="00605712" w:rsidRDefault="00605712">
      <w:pPr>
        <w:rPr>
          <w:rFonts w:asciiTheme="majorHAnsi" w:eastAsiaTheme="majorEastAsia" w:hAnsiTheme="majorHAnsi" w:cstheme="majorBidi"/>
          <w:color w:val="2F5496" w:themeColor="accent1" w:themeShade="BF"/>
          <w:sz w:val="32"/>
          <w:szCs w:val="32"/>
        </w:rPr>
      </w:pPr>
      <w:r>
        <w:rPr>
          <w:noProof/>
        </w:rPr>
        <w:drawing>
          <wp:inline distT="0" distB="0" distL="0" distR="0" wp14:anchorId="577E661C" wp14:editId="6EBFC8DD">
            <wp:extent cx="5943600" cy="7924800"/>
            <wp:effectExtent l="0" t="0" r="0" b="0"/>
            <wp:docPr id="20" name="Picture 20" descr="A crowd of people walking on a city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png"/>
                    <pic:cNvPicPr/>
                  </pic:nvPicPr>
                  <pic:blipFill>
                    <a:blip r:embed="rId8">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r>
        <w:br w:type="page"/>
      </w:r>
    </w:p>
    <w:p w14:paraId="36C3887A" w14:textId="7C7F9F9B" w:rsidR="00D3070C" w:rsidRDefault="00D3070C" w:rsidP="00D56F75">
      <w:pPr>
        <w:pStyle w:val="Heading1"/>
      </w:pPr>
      <w:r>
        <w:lastRenderedPageBreak/>
        <w:t>Ethnography Made Easy</w:t>
      </w:r>
    </w:p>
    <w:p w14:paraId="1B170B84" w14:textId="06577FE6" w:rsidR="00306DAA" w:rsidRDefault="00D56F75" w:rsidP="00FF1B42">
      <w:pPr>
        <w:pStyle w:val="Heading2"/>
      </w:pPr>
      <w:r>
        <w:t>Table of Contents</w:t>
      </w:r>
    </w:p>
    <w:p w14:paraId="61C70A9F" w14:textId="77777777" w:rsidR="00D3070C" w:rsidRPr="00D3070C" w:rsidRDefault="00D3070C" w:rsidP="00D3070C"/>
    <w:p w14:paraId="45FEF364" w14:textId="6179AFF3" w:rsidR="000959AA" w:rsidRPr="00D3070C" w:rsidRDefault="00605712" w:rsidP="00FF1B42">
      <w:pPr>
        <w:pStyle w:val="Heading3"/>
      </w:pPr>
      <w:hyperlink r:id="rId9" w:history="1">
        <w:r w:rsidR="00F219DD" w:rsidRPr="00C37F0E">
          <w:t>Understanding Ethnography</w:t>
        </w:r>
      </w:hyperlink>
      <w:r w:rsidR="001D7746" w:rsidRPr="00C37F0E">
        <w:t xml:space="preserve"> </w:t>
      </w:r>
      <w:r w:rsidR="001D7746">
        <w:t>Maureen Sheridan</w:t>
      </w:r>
    </w:p>
    <w:p w14:paraId="24564BE9" w14:textId="6D2B8AED" w:rsidR="00D56F75" w:rsidRDefault="00AF7E4E" w:rsidP="001D7746">
      <w:pPr>
        <w:pStyle w:val="ListParagraph"/>
        <w:numPr>
          <w:ilvl w:val="0"/>
          <w:numId w:val="1"/>
        </w:numPr>
      </w:pPr>
      <w:r>
        <w:t>Defining Ethnography</w:t>
      </w:r>
    </w:p>
    <w:p w14:paraId="1DDF26A9" w14:textId="4D567B87" w:rsidR="00AF7E4E" w:rsidRDefault="00AF7E4E" w:rsidP="001D7746">
      <w:pPr>
        <w:pStyle w:val="ListParagraph"/>
        <w:numPr>
          <w:ilvl w:val="0"/>
          <w:numId w:val="1"/>
        </w:numPr>
      </w:pPr>
      <w:r>
        <w:t>Maintaining a Naïve State of Mind as a First Hand Observer</w:t>
      </w:r>
    </w:p>
    <w:p w14:paraId="4523267A" w14:textId="6FAD5771" w:rsidR="00AF7E4E" w:rsidRDefault="00AF7E4E" w:rsidP="001D7746">
      <w:pPr>
        <w:pStyle w:val="ListParagraph"/>
        <w:numPr>
          <w:ilvl w:val="0"/>
          <w:numId w:val="1"/>
        </w:numPr>
      </w:pPr>
      <w:r>
        <w:t>Employing Ethnography</w:t>
      </w:r>
    </w:p>
    <w:p w14:paraId="277484D5" w14:textId="0AC31D04" w:rsidR="00AF7E4E" w:rsidRDefault="00AF7E4E" w:rsidP="001D7746">
      <w:pPr>
        <w:pStyle w:val="ListParagraph"/>
        <w:numPr>
          <w:ilvl w:val="0"/>
          <w:numId w:val="1"/>
        </w:numPr>
      </w:pPr>
      <w:r>
        <w:t>Identifying Bias in the Research Process</w:t>
      </w:r>
    </w:p>
    <w:p w14:paraId="167EA4F5" w14:textId="19C2F867" w:rsidR="00AF7E4E" w:rsidRDefault="00AF7E4E" w:rsidP="001D7746">
      <w:pPr>
        <w:pStyle w:val="ListParagraph"/>
        <w:numPr>
          <w:ilvl w:val="0"/>
          <w:numId w:val="1"/>
        </w:numPr>
      </w:pPr>
      <w:r>
        <w:t>Summary</w:t>
      </w:r>
    </w:p>
    <w:p w14:paraId="731ECD67" w14:textId="77777777" w:rsidR="00D3070C" w:rsidRDefault="00D3070C" w:rsidP="00D3070C">
      <w:pPr>
        <w:ind w:left="720"/>
      </w:pPr>
    </w:p>
    <w:p w14:paraId="21B10974" w14:textId="721A71E3" w:rsidR="00AF7E4E" w:rsidRPr="00D3070C" w:rsidRDefault="00605712" w:rsidP="00FF1B42">
      <w:pPr>
        <w:pStyle w:val="Heading3"/>
      </w:pPr>
      <w:hyperlink r:id="rId10" w:history="1">
        <w:r w:rsidR="000959AA" w:rsidRPr="00C37F0E">
          <w:t xml:space="preserve">Thinking Like </w:t>
        </w:r>
        <w:proofErr w:type="gramStart"/>
        <w:r w:rsidR="000959AA" w:rsidRPr="00C37F0E">
          <w:t>An</w:t>
        </w:r>
        <w:proofErr w:type="gramEnd"/>
        <w:r w:rsidR="000959AA" w:rsidRPr="00C37F0E">
          <w:t xml:space="preserve"> Ethnographer</w:t>
        </w:r>
      </w:hyperlink>
      <w:r w:rsidR="001D7746" w:rsidRPr="001D7746">
        <w:t xml:space="preserve"> </w:t>
      </w:r>
      <w:r w:rsidR="001D7746">
        <w:t>Kristina Baines</w:t>
      </w:r>
    </w:p>
    <w:p w14:paraId="7145F887" w14:textId="7E1BE222" w:rsidR="00AF7E4E" w:rsidRDefault="00AF7E4E" w:rsidP="00C23CDB">
      <w:pPr>
        <w:pStyle w:val="ListParagraph"/>
        <w:numPr>
          <w:ilvl w:val="0"/>
          <w:numId w:val="3"/>
        </w:numPr>
      </w:pPr>
      <w:r>
        <w:t>Background and History</w:t>
      </w:r>
    </w:p>
    <w:p w14:paraId="027FC5D5" w14:textId="4392D8F8" w:rsidR="00AF7E4E" w:rsidRDefault="00AF7E4E" w:rsidP="00C23CDB">
      <w:pPr>
        <w:pStyle w:val="ListParagraph"/>
        <w:numPr>
          <w:ilvl w:val="0"/>
          <w:numId w:val="3"/>
        </w:numPr>
      </w:pPr>
      <w:r>
        <w:t>Operationalizing the Ethnographic Mindset</w:t>
      </w:r>
    </w:p>
    <w:p w14:paraId="0DF31FBF" w14:textId="49A56A6B" w:rsidR="00AF7E4E" w:rsidRDefault="00AF7E4E" w:rsidP="00C23CDB">
      <w:pPr>
        <w:pStyle w:val="ListParagraph"/>
        <w:numPr>
          <w:ilvl w:val="0"/>
          <w:numId w:val="3"/>
        </w:numPr>
      </w:pPr>
      <w:r>
        <w:t>Moving Forward</w:t>
      </w:r>
    </w:p>
    <w:p w14:paraId="02EE6DD9" w14:textId="77777777" w:rsidR="00685FFB" w:rsidRDefault="00685FFB" w:rsidP="00685FFB">
      <w:pPr>
        <w:pStyle w:val="ListParagraph"/>
        <w:ind w:left="1080"/>
      </w:pPr>
    </w:p>
    <w:p w14:paraId="0BC9C885" w14:textId="22513402" w:rsidR="00437A8B" w:rsidRDefault="00605712" w:rsidP="00FF1B42">
      <w:pPr>
        <w:pStyle w:val="Heading3"/>
      </w:pPr>
      <w:hyperlink r:id="rId11" w:history="1">
        <w:r w:rsidR="000959AA" w:rsidRPr="00C37F0E">
          <w:t>Autoethnography</w:t>
        </w:r>
      </w:hyperlink>
      <w:r w:rsidR="001D7746" w:rsidRPr="001D7746">
        <w:t xml:space="preserve"> </w:t>
      </w:r>
      <w:r w:rsidR="001D7746">
        <w:t>Alia R. Tyner-Mullings</w:t>
      </w:r>
    </w:p>
    <w:p w14:paraId="67EC91B0" w14:textId="4E66D061" w:rsidR="00AF7E4E" w:rsidRDefault="00AF7E4E" w:rsidP="00C23CDB">
      <w:pPr>
        <w:pStyle w:val="ListParagraph"/>
        <w:numPr>
          <w:ilvl w:val="1"/>
          <w:numId w:val="2"/>
        </w:numPr>
      </w:pPr>
      <w:r>
        <w:t xml:space="preserve">History of </w:t>
      </w:r>
      <w:proofErr w:type="spellStart"/>
      <w:r>
        <w:t>Auoethnography</w:t>
      </w:r>
      <w:proofErr w:type="spellEnd"/>
    </w:p>
    <w:p w14:paraId="3E17BF03" w14:textId="1A9A9593" w:rsidR="00AF7E4E" w:rsidRDefault="00AF7E4E" w:rsidP="00C23CDB">
      <w:pPr>
        <w:pStyle w:val="ListParagraph"/>
        <w:numPr>
          <w:ilvl w:val="1"/>
          <w:numId w:val="2"/>
        </w:numPr>
      </w:pPr>
      <w:r>
        <w:t>The Structure of Autoethnographies</w:t>
      </w:r>
    </w:p>
    <w:p w14:paraId="3007A30B" w14:textId="414E617D" w:rsidR="00AF7E4E" w:rsidRDefault="00AF7E4E" w:rsidP="00C23CDB">
      <w:pPr>
        <w:pStyle w:val="ListParagraph"/>
        <w:numPr>
          <w:ilvl w:val="1"/>
          <w:numId w:val="2"/>
        </w:numPr>
      </w:pPr>
      <w:r>
        <w:t>Preparing for the Autoethnography</w:t>
      </w:r>
    </w:p>
    <w:p w14:paraId="56BBA86F" w14:textId="6F3DBFF0" w:rsidR="00AF7E4E" w:rsidRDefault="00AF7E4E" w:rsidP="00C23CDB">
      <w:pPr>
        <w:pStyle w:val="ListParagraph"/>
        <w:numPr>
          <w:ilvl w:val="1"/>
          <w:numId w:val="2"/>
        </w:numPr>
      </w:pPr>
      <w:r>
        <w:t>Collecting Data for Your Autoethnography</w:t>
      </w:r>
    </w:p>
    <w:p w14:paraId="5053DF28" w14:textId="35012F59" w:rsidR="00AF7E4E" w:rsidRDefault="00AF7E4E" w:rsidP="00C23CDB">
      <w:pPr>
        <w:pStyle w:val="ListParagraph"/>
        <w:numPr>
          <w:ilvl w:val="1"/>
          <w:numId w:val="2"/>
        </w:numPr>
      </w:pPr>
      <w:r>
        <w:t>Ethnographic Narratives</w:t>
      </w:r>
    </w:p>
    <w:p w14:paraId="0FF8C59F" w14:textId="77777777" w:rsidR="00685FFB" w:rsidRDefault="00685FFB" w:rsidP="00685FFB">
      <w:pPr>
        <w:pStyle w:val="ListParagraph"/>
        <w:ind w:left="1080"/>
      </w:pPr>
    </w:p>
    <w:p w14:paraId="488DA979" w14:textId="4AB857CD" w:rsidR="001D7746" w:rsidRDefault="00605712" w:rsidP="00FF1B42">
      <w:pPr>
        <w:pStyle w:val="Heading3"/>
      </w:pPr>
      <w:hyperlink r:id="rId12" w:history="1">
        <w:r w:rsidR="000959AA" w:rsidRPr="00C37F0E">
          <w:t>Research Ethics</w:t>
        </w:r>
      </w:hyperlink>
      <w:r w:rsidR="001D7746">
        <w:t xml:space="preserve"> Alia R. Tyner-Mullings</w:t>
      </w:r>
    </w:p>
    <w:p w14:paraId="1A612A1E" w14:textId="3F93B404" w:rsidR="00AF7E4E" w:rsidRDefault="00AF7E4E" w:rsidP="00C23CDB">
      <w:pPr>
        <w:pStyle w:val="ListParagraph"/>
        <w:numPr>
          <w:ilvl w:val="0"/>
          <w:numId w:val="4"/>
        </w:numPr>
      </w:pPr>
      <w:r>
        <w:t>Questionable Research</w:t>
      </w:r>
    </w:p>
    <w:p w14:paraId="63BA7F5B" w14:textId="24BF41D9" w:rsidR="00AF7E4E" w:rsidRDefault="00AF7E4E" w:rsidP="00C23CDB">
      <w:pPr>
        <w:pStyle w:val="ListParagraph"/>
        <w:numPr>
          <w:ilvl w:val="0"/>
          <w:numId w:val="4"/>
        </w:numPr>
      </w:pPr>
      <w:r>
        <w:t>Institutional Review Board</w:t>
      </w:r>
    </w:p>
    <w:p w14:paraId="4D67A118" w14:textId="12B113CE" w:rsidR="00AF7E4E" w:rsidRDefault="00AF7E4E" w:rsidP="00C23CDB">
      <w:pPr>
        <w:pStyle w:val="ListParagraph"/>
        <w:numPr>
          <w:ilvl w:val="0"/>
          <w:numId w:val="4"/>
        </w:numPr>
      </w:pPr>
      <w:r>
        <w:t>Privacy and Confidentiality</w:t>
      </w:r>
    </w:p>
    <w:p w14:paraId="2E51878D" w14:textId="78B1285B" w:rsidR="00F26841" w:rsidRDefault="00F26841" w:rsidP="00F26841"/>
    <w:p w14:paraId="103B5E37" w14:textId="357154DB" w:rsidR="00F26841" w:rsidRDefault="00605712" w:rsidP="00F26841">
      <w:hyperlink r:id="rId13" w:history="1">
        <w:r w:rsidR="00F26841" w:rsidRPr="00C37F0E">
          <w:rPr>
            <w:rStyle w:val="Heading3Char"/>
          </w:rPr>
          <w:t>Ethnographic Mapping</w:t>
        </w:r>
      </w:hyperlink>
      <w:r w:rsidR="00F26841" w:rsidRPr="00196B2E">
        <w:rPr>
          <w:rStyle w:val="Heading3Char"/>
        </w:rPr>
        <w:t xml:space="preserve"> </w:t>
      </w:r>
      <w:r w:rsidR="00F26841" w:rsidRPr="00447331">
        <w:rPr>
          <w:rStyle w:val="Heading3Char"/>
        </w:rPr>
        <w:t>Tom Martin</w:t>
      </w:r>
    </w:p>
    <w:p w14:paraId="4ED3B110" w14:textId="197D2FB8" w:rsidR="00F26841" w:rsidRDefault="00F26841" w:rsidP="00C23CDB">
      <w:pPr>
        <w:pStyle w:val="ListParagraph"/>
        <w:numPr>
          <w:ilvl w:val="0"/>
          <w:numId w:val="11"/>
        </w:numPr>
      </w:pPr>
      <w:r>
        <w:t>Mapping spaces</w:t>
      </w:r>
    </w:p>
    <w:p w14:paraId="729C73FE" w14:textId="1BB6502B" w:rsidR="00F26841" w:rsidRDefault="00F26841" w:rsidP="00C23CDB">
      <w:pPr>
        <w:pStyle w:val="ListParagraph"/>
        <w:numPr>
          <w:ilvl w:val="0"/>
          <w:numId w:val="11"/>
        </w:numPr>
      </w:pPr>
      <w:r>
        <w:t>Non-spa</w:t>
      </w:r>
      <w:r w:rsidR="00447331">
        <w:t>t</w:t>
      </w:r>
      <w:r>
        <w:t>ial maps</w:t>
      </w:r>
    </w:p>
    <w:p w14:paraId="2EB042B8" w14:textId="71E02269" w:rsidR="00F26841" w:rsidRDefault="00F26841" w:rsidP="00C23CDB">
      <w:pPr>
        <w:pStyle w:val="ListParagraph"/>
        <w:numPr>
          <w:ilvl w:val="0"/>
          <w:numId w:val="11"/>
        </w:numPr>
      </w:pPr>
      <w:r>
        <w:t>Map making techniques</w:t>
      </w:r>
    </w:p>
    <w:p w14:paraId="3E950C4F" w14:textId="372B810E" w:rsidR="00F26841" w:rsidRDefault="00F26841" w:rsidP="00C23CDB">
      <w:pPr>
        <w:pStyle w:val="ListParagraph"/>
        <w:numPr>
          <w:ilvl w:val="0"/>
          <w:numId w:val="11"/>
        </w:numPr>
      </w:pPr>
      <w:r>
        <w:t>Conclusion</w:t>
      </w:r>
    </w:p>
    <w:p w14:paraId="55C2298C" w14:textId="77777777" w:rsidR="00685FFB" w:rsidRDefault="00685FFB" w:rsidP="00685FFB">
      <w:pPr>
        <w:pStyle w:val="ListParagraph"/>
        <w:ind w:left="1080"/>
      </w:pPr>
    </w:p>
    <w:p w14:paraId="3DF0C98B" w14:textId="288E6401" w:rsidR="001D7746" w:rsidRDefault="00605712" w:rsidP="00FF1B42">
      <w:pPr>
        <w:pStyle w:val="Heading3"/>
      </w:pPr>
      <w:hyperlink r:id="rId14" w:history="1">
        <w:r w:rsidR="000959AA" w:rsidRPr="00C37F0E">
          <w:t>Collecting Data and Taking Notes</w:t>
        </w:r>
      </w:hyperlink>
      <w:r w:rsidR="001D7746" w:rsidRPr="00C37F0E">
        <w:t xml:space="preserve"> </w:t>
      </w:r>
      <w:r w:rsidR="001D7746">
        <w:t xml:space="preserve">Mary </w:t>
      </w:r>
      <w:proofErr w:type="spellStart"/>
      <w:r w:rsidR="001D7746">
        <w:t>Gatta</w:t>
      </w:r>
      <w:proofErr w:type="spellEnd"/>
      <w:r w:rsidR="001D7746">
        <w:t xml:space="preserve"> </w:t>
      </w:r>
    </w:p>
    <w:p w14:paraId="12C3F416" w14:textId="6A8FA8FC" w:rsidR="00AF7E4E" w:rsidRDefault="00AF7E4E" w:rsidP="00C23CDB">
      <w:pPr>
        <w:pStyle w:val="ListParagraph"/>
        <w:numPr>
          <w:ilvl w:val="0"/>
          <w:numId w:val="5"/>
        </w:numPr>
      </w:pPr>
      <w:r>
        <w:t>What Are Fieldnotes?</w:t>
      </w:r>
    </w:p>
    <w:p w14:paraId="46B51700" w14:textId="4945F13D" w:rsidR="00AF7E4E" w:rsidRDefault="00AF7E4E" w:rsidP="00C23CDB">
      <w:pPr>
        <w:pStyle w:val="ListParagraph"/>
        <w:numPr>
          <w:ilvl w:val="0"/>
          <w:numId w:val="5"/>
        </w:numPr>
      </w:pPr>
      <w:r>
        <w:t>Basics of Fieldnotes</w:t>
      </w:r>
    </w:p>
    <w:p w14:paraId="2C4043D4" w14:textId="33F0A79A" w:rsidR="00AF7E4E" w:rsidRDefault="00AF7E4E" w:rsidP="00C23CDB">
      <w:pPr>
        <w:pStyle w:val="ListParagraph"/>
        <w:numPr>
          <w:ilvl w:val="0"/>
          <w:numId w:val="5"/>
        </w:numPr>
      </w:pPr>
      <w:r>
        <w:t>Jottings and Notes</w:t>
      </w:r>
    </w:p>
    <w:p w14:paraId="6B923C68" w14:textId="58270F26" w:rsidR="00AF7E4E" w:rsidRDefault="00AF7E4E" w:rsidP="00C23CDB">
      <w:pPr>
        <w:pStyle w:val="ListParagraph"/>
        <w:numPr>
          <w:ilvl w:val="0"/>
          <w:numId w:val="5"/>
        </w:numPr>
      </w:pPr>
      <w:r>
        <w:t>Characteristics of Field Notes</w:t>
      </w:r>
    </w:p>
    <w:p w14:paraId="63204EAC" w14:textId="37B3E2AC" w:rsidR="00AF7E4E" w:rsidRDefault="00AF7E4E" w:rsidP="00C23CDB">
      <w:pPr>
        <w:pStyle w:val="ListParagraph"/>
        <w:numPr>
          <w:ilvl w:val="0"/>
          <w:numId w:val="5"/>
        </w:numPr>
      </w:pPr>
      <w:r>
        <w:t>Templates for Fieldnotes</w:t>
      </w:r>
    </w:p>
    <w:p w14:paraId="6976FC8A" w14:textId="043F21FE" w:rsidR="00AF7E4E" w:rsidRDefault="00AF7E4E" w:rsidP="00C23CDB">
      <w:pPr>
        <w:pStyle w:val="ListParagraph"/>
        <w:numPr>
          <w:ilvl w:val="0"/>
          <w:numId w:val="5"/>
        </w:numPr>
      </w:pPr>
      <w:r>
        <w:t>Storing Your Notes</w:t>
      </w:r>
    </w:p>
    <w:p w14:paraId="55F4A514" w14:textId="179BF27C" w:rsidR="00AF7E4E" w:rsidRDefault="00AF7E4E" w:rsidP="00C23CDB">
      <w:pPr>
        <w:pStyle w:val="ListParagraph"/>
        <w:numPr>
          <w:ilvl w:val="0"/>
          <w:numId w:val="5"/>
        </w:numPr>
      </w:pPr>
      <w:r>
        <w:t>Conclusion</w:t>
      </w:r>
    </w:p>
    <w:p w14:paraId="14C0C6F7" w14:textId="77777777" w:rsidR="00685FFB" w:rsidRDefault="00685FFB" w:rsidP="00685FFB">
      <w:pPr>
        <w:pStyle w:val="ListParagraph"/>
        <w:ind w:left="1080"/>
      </w:pPr>
    </w:p>
    <w:p w14:paraId="533260B3" w14:textId="4E827AFF" w:rsidR="001D7746" w:rsidRDefault="00605712" w:rsidP="00FF1B42">
      <w:pPr>
        <w:pStyle w:val="Heading3"/>
      </w:pPr>
      <w:hyperlink r:id="rId15" w:history="1">
        <w:r w:rsidR="000959AA" w:rsidRPr="00C37F0E">
          <w:t>Observations</w:t>
        </w:r>
      </w:hyperlink>
      <w:r w:rsidR="001D7746" w:rsidRPr="00C37F0E">
        <w:t xml:space="preserve"> </w:t>
      </w:r>
      <w:r w:rsidR="001D7746">
        <w:t xml:space="preserve">Nicole </w:t>
      </w:r>
      <w:proofErr w:type="spellStart"/>
      <w:r w:rsidR="001D7746">
        <w:t>Kras</w:t>
      </w:r>
      <w:proofErr w:type="spellEnd"/>
    </w:p>
    <w:p w14:paraId="41D67EDE" w14:textId="20C0489B" w:rsidR="00AF7E4E" w:rsidRDefault="00AF7E4E" w:rsidP="00C23CDB">
      <w:pPr>
        <w:pStyle w:val="ListParagraph"/>
        <w:numPr>
          <w:ilvl w:val="0"/>
          <w:numId w:val="6"/>
        </w:numPr>
      </w:pPr>
      <w:r>
        <w:t>Types of Observations</w:t>
      </w:r>
    </w:p>
    <w:p w14:paraId="0C399BEF" w14:textId="40C74060" w:rsidR="001D7746" w:rsidRDefault="001D7746" w:rsidP="00C23CDB">
      <w:pPr>
        <w:pStyle w:val="ListParagraph"/>
        <w:numPr>
          <w:ilvl w:val="0"/>
          <w:numId w:val="6"/>
        </w:numPr>
      </w:pPr>
      <w:r>
        <w:t>Observation in Action</w:t>
      </w:r>
    </w:p>
    <w:p w14:paraId="429DA2CF" w14:textId="3ECA1643" w:rsidR="00685FFB" w:rsidRDefault="00685FFB" w:rsidP="00F26841"/>
    <w:p w14:paraId="69C4D151" w14:textId="7BE8A8EF" w:rsidR="00F26841" w:rsidRDefault="00605712" w:rsidP="00F26841">
      <w:hyperlink r:id="rId16" w:history="1">
        <w:r w:rsidR="00F26841" w:rsidRPr="00C37F0E">
          <w:rPr>
            <w:rStyle w:val="Heading3Char"/>
          </w:rPr>
          <w:t>Sensory Ethnography</w:t>
        </w:r>
      </w:hyperlink>
      <w:r w:rsidR="00F26841">
        <w:t xml:space="preserve"> </w:t>
      </w:r>
      <w:r w:rsidR="00F26841" w:rsidRPr="00447331">
        <w:rPr>
          <w:rStyle w:val="Heading3Char"/>
        </w:rPr>
        <w:t>Tom Martin</w:t>
      </w:r>
    </w:p>
    <w:p w14:paraId="3DEBDA79" w14:textId="51131031" w:rsidR="00F26841" w:rsidRDefault="00F26841" w:rsidP="00C23CDB">
      <w:pPr>
        <w:pStyle w:val="ListParagraph"/>
        <w:numPr>
          <w:ilvl w:val="0"/>
          <w:numId w:val="10"/>
        </w:numPr>
      </w:pPr>
      <w:r>
        <w:t>What are the ‘senses’?</w:t>
      </w:r>
    </w:p>
    <w:p w14:paraId="6361004A" w14:textId="7A2D5E80" w:rsidR="00F26841" w:rsidRDefault="00F26841" w:rsidP="00C23CDB">
      <w:pPr>
        <w:pStyle w:val="ListParagraph"/>
        <w:numPr>
          <w:ilvl w:val="0"/>
          <w:numId w:val="10"/>
        </w:numPr>
      </w:pPr>
      <w:r>
        <w:t>Whose senses?</w:t>
      </w:r>
    </w:p>
    <w:p w14:paraId="398F4A96" w14:textId="30306619" w:rsidR="00F26841" w:rsidRDefault="00F26841" w:rsidP="00C23CDB">
      <w:pPr>
        <w:pStyle w:val="ListParagraph"/>
        <w:numPr>
          <w:ilvl w:val="0"/>
          <w:numId w:val="10"/>
        </w:numPr>
      </w:pPr>
      <w:r>
        <w:t>Sensory research topics in the world of work</w:t>
      </w:r>
    </w:p>
    <w:p w14:paraId="4BC995D6" w14:textId="00A07CAC" w:rsidR="00F26841" w:rsidRDefault="00F26841" w:rsidP="00C23CDB">
      <w:pPr>
        <w:pStyle w:val="ListParagraph"/>
        <w:numPr>
          <w:ilvl w:val="0"/>
          <w:numId w:val="10"/>
        </w:numPr>
      </w:pPr>
      <w:r>
        <w:t>Conclusion</w:t>
      </w:r>
    </w:p>
    <w:p w14:paraId="79A0A2EC" w14:textId="77777777" w:rsidR="00F26841" w:rsidRDefault="00F26841" w:rsidP="00F26841"/>
    <w:p w14:paraId="3211783C" w14:textId="21B7C11E" w:rsidR="001D7746" w:rsidRDefault="00605712" w:rsidP="00FF1B42">
      <w:pPr>
        <w:pStyle w:val="Heading3"/>
      </w:pPr>
      <w:hyperlink r:id="rId17" w:history="1">
        <w:r w:rsidR="000959AA" w:rsidRPr="00C37F0E">
          <w:t>Participant Observation</w:t>
        </w:r>
      </w:hyperlink>
      <w:r w:rsidR="001D7746" w:rsidRPr="00C37F0E">
        <w:t xml:space="preserve"> </w:t>
      </w:r>
      <w:r w:rsidR="001D7746">
        <w:t>Maureen Sheridan</w:t>
      </w:r>
    </w:p>
    <w:p w14:paraId="770AEAD8" w14:textId="3631CB5D" w:rsidR="001D7746" w:rsidRDefault="001D7746" w:rsidP="00C23CDB">
      <w:pPr>
        <w:pStyle w:val="ListParagraph"/>
        <w:numPr>
          <w:ilvl w:val="0"/>
          <w:numId w:val="7"/>
        </w:numPr>
      </w:pPr>
      <w:r>
        <w:t>Introduction</w:t>
      </w:r>
    </w:p>
    <w:p w14:paraId="5431297D" w14:textId="6E1C470B" w:rsidR="001D7746" w:rsidRDefault="001D7746" w:rsidP="00C23CDB">
      <w:pPr>
        <w:pStyle w:val="ListParagraph"/>
        <w:numPr>
          <w:ilvl w:val="0"/>
          <w:numId w:val="7"/>
        </w:numPr>
      </w:pPr>
      <w:r>
        <w:t>Reconciling Participation and Observation</w:t>
      </w:r>
    </w:p>
    <w:p w14:paraId="208B2EB3" w14:textId="5D21155E" w:rsidR="001D7746" w:rsidRDefault="001D7746" w:rsidP="00C23CDB">
      <w:pPr>
        <w:pStyle w:val="ListParagraph"/>
        <w:numPr>
          <w:ilvl w:val="0"/>
          <w:numId w:val="7"/>
        </w:numPr>
      </w:pPr>
      <w:r>
        <w:t>The Importance of Allocating Sufficient Time</w:t>
      </w:r>
    </w:p>
    <w:p w14:paraId="7BAD5835" w14:textId="3E2F61C3" w:rsidR="001D7746" w:rsidRDefault="001D7746" w:rsidP="00C23CDB">
      <w:pPr>
        <w:pStyle w:val="ListParagraph"/>
        <w:numPr>
          <w:ilvl w:val="0"/>
          <w:numId w:val="7"/>
        </w:numPr>
      </w:pPr>
      <w:r>
        <w:t xml:space="preserve">Communicating with Participants to Execute the </w:t>
      </w:r>
      <w:r w:rsidR="00685FFB">
        <w:t>Research</w:t>
      </w:r>
      <w:r>
        <w:t xml:space="preserve"> Process</w:t>
      </w:r>
    </w:p>
    <w:p w14:paraId="11284682" w14:textId="4864119F" w:rsidR="001D7746" w:rsidRDefault="001D7746" w:rsidP="00C23CDB">
      <w:pPr>
        <w:pStyle w:val="ListParagraph"/>
        <w:numPr>
          <w:ilvl w:val="0"/>
          <w:numId w:val="7"/>
        </w:numPr>
      </w:pPr>
      <w:r>
        <w:t xml:space="preserve">Avoiding Deceptiveness </w:t>
      </w:r>
      <w:r w:rsidR="00685FFB">
        <w:t>an</w:t>
      </w:r>
      <w:r>
        <w:t>d</w:t>
      </w:r>
      <w:r w:rsidR="00685FFB">
        <w:t xml:space="preserve"> </w:t>
      </w:r>
      <w:r>
        <w:t>Misrepresentation</w:t>
      </w:r>
    </w:p>
    <w:p w14:paraId="2A2A8060" w14:textId="7297099C" w:rsidR="001D7746" w:rsidRDefault="001D7746" w:rsidP="00C23CDB">
      <w:pPr>
        <w:pStyle w:val="ListParagraph"/>
        <w:numPr>
          <w:ilvl w:val="0"/>
          <w:numId w:val="7"/>
        </w:numPr>
      </w:pPr>
      <w:r>
        <w:t>Getting started</w:t>
      </w:r>
    </w:p>
    <w:p w14:paraId="75D76674" w14:textId="5B27432F" w:rsidR="001D7746" w:rsidRDefault="001D7746" w:rsidP="00C23CDB">
      <w:pPr>
        <w:pStyle w:val="ListParagraph"/>
        <w:numPr>
          <w:ilvl w:val="0"/>
          <w:numId w:val="7"/>
        </w:numPr>
      </w:pPr>
      <w:r>
        <w:t>Routine versus unexpected behavior and conversations</w:t>
      </w:r>
    </w:p>
    <w:p w14:paraId="1D423B8C" w14:textId="255B60D6" w:rsidR="001D7746" w:rsidRDefault="001D7746" w:rsidP="00C23CDB">
      <w:pPr>
        <w:pStyle w:val="ListParagraph"/>
        <w:numPr>
          <w:ilvl w:val="0"/>
          <w:numId w:val="7"/>
        </w:numPr>
      </w:pPr>
      <w:r>
        <w:t>Paying Attention to Repetition</w:t>
      </w:r>
    </w:p>
    <w:p w14:paraId="5BA4C7CC" w14:textId="665FD41B" w:rsidR="001D7746" w:rsidRDefault="001D7746" w:rsidP="00C23CDB">
      <w:pPr>
        <w:pStyle w:val="ListParagraph"/>
        <w:numPr>
          <w:ilvl w:val="0"/>
          <w:numId w:val="7"/>
        </w:numPr>
      </w:pPr>
      <w:r>
        <w:t>Conclusion</w:t>
      </w:r>
    </w:p>
    <w:p w14:paraId="347BB811" w14:textId="77777777" w:rsidR="00685FFB" w:rsidRDefault="00685FFB" w:rsidP="00685FFB">
      <w:pPr>
        <w:pStyle w:val="ListParagraph"/>
        <w:ind w:left="1080"/>
      </w:pPr>
    </w:p>
    <w:p w14:paraId="7E5016D0" w14:textId="33630EA4" w:rsidR="001D7746" w:rsidRDefault="00605712" w:rsidP="00FF1B42">
      <w:pPr>
        <w:pStyle w:val="Heading3"/>
      </w:pPr>
      <w:hyperlink r:id="rId18" w:history="1">
        <w:r w:rsidR="000959AA" w:rsidRPr="00C37F0E">
          <w:t>Interviews</w:t>
        </w:r>
      </w:hyperlink>
      <w:r w:rsidR="001D7746">
        <w:t xml:space="preserve"> </w:t>
      </w:r>
      <w:r w:rsidR="001D7746" w:rsidRPr="00447331">
        <w:t xml:space="preserve">Samuel </w:t>
      </w:r>
      <w:proofErr w:type="spellStart"/>
      <w:r w:rsidR="001D7746" w:rsidRPr="00447331">
        <w:t>Finesurrey</w:t>
      </w:r>
      <w:proofErr w:type="spellEnd"/>
    </w:p>
    <w:p w14:paraId="54C45097" w14:textId="639B4703" w:rsidR="001D7746" w:rsidRDefault="001D7746" w:rsidP="00C23CDB">
      <w:pPr>
        <w:pStyle w:val="ListParagraph"/>
        <w:numPr>
          <w:ilvl w:val="0"/>
          <w:numId w:val="8"/>
        </w:numPr>
      </w:pPr>
      <w:r>
        <w:t>Introduction</w:t>
      </w:r>
    </w:p>
    <w:p w14:paraId="0A5485D4" w14:textId="7149F567" w:rsidR="001D7746" w:rsidRDefault="001D7746" w:rsidP="00C23CDB">
      <w:pPr>
        <w:pStyle w:val="ListParagraph"/>
        <w:numPr>
          <w:ilvl w:val="0"/>
          <w:numId w:val="8"/>
        </w:numPr>
      </w:pPr>
      <w:r>
        <w:t>Types of Interviews</w:t>
      </w:r>
    </w:p>
    <w:p w14:paraId="5187F9BD" w14:textId="06C040BF" w:rsidR="001D7746" w:rsidRDefault="001D7746" w:rsidP="00C23CDB">
      <w:pPr>
        <w:pStyle w:val="ListParagraph"/>
        <w:numPr>
          <w:ilvl w:val="0"/>
          <w:numId w:val="8"/>
        </w:numPr>
      </w:pPr>
      <w:r>
        <w:t>Preparing for an Interview</w:t>
      </w:r>
    </w:p>
    <w:p w14:paraId="6E16D2B0" w14:textId="7A28476E" w:rsidR="001D7746" w:rsidRDefault="001D7746" w:rsidP="00C23CDB">
      <w:pPr>
        <w:pStyle w:val="ListParagraph"/>
        <w:numPr>
          <w:ilvl w:val="0"/>
          <w:numId w:val="8"/>
        </w:numPr>
      </w:pPr>
      <w:r>
        <w:t>Conducting an Interview</w:t>
      </w:r>
    </w:p>
    <w:p w14:paraId="6AC40867" w14:textId="7CF4ECD4" w:rsidR="001D7746" w:rsidRDefault="001D7746" w:rsidP="00C23CDB">
      <w:pPr>
        <w:pStyle w:val="ListParagraph"/>
        <w:numPr>
          <w:ilvl w:val="0"/>
          <w:numId w:val="8"/>
        </w:numPr>
      </w:pPr>
      <w:r>
        <w:t>Evaluating Information from Interview</w:t>
      </w:r>
    </w:p>
    <w:p w14:paraId="2F10C21E" w14:textId="1C2923D5" w:rsidR="001D7746" w:rsidRDefault="001D7746" w:rsidP="00C23CDB">
      <w:pPr>
        <w:pStyle w:val="ListParagraph"/>
        <w:numPr>
          <w:ilvl w:val="0"/>
          <w:numId w:val="8"/>
        </w:numPr>
      </w:pPr>
      <w:r>
        <w:t>Preserving the Interview</w:t>
      </w:r>
    </w:p>
    <w:p w14:paraId="25391CC2" w14:textId="77777777" w:rsidR="00F26841" w:rsidRDefault="00F26841" w:rsidP="00F26841"/>
    <w:p w14:paraId="71506DFB" w14:textId="5CB51173" w:rsidR="00F26841" w:rsidRDefault="00605712" w:rsidP="00F26841">
      <w:hyperlink r:id="rId19" w:history="1">
        <w:r w:rsidR="00F26841" w:rsidRPr="00C37F0E">
          <w:rPr>
            <w:rStyle w:val="Heading3Char"/>
          </w:rPr>
          <w:t>Coding</w:t>
        </w:r>
      </w:hyperlink>
      <w:r w:rsidR="00447331">
        <w:t xml:space="preserve"> </w:t>
      </w:r>
      <w:r w:rsidR="00447331" w:rsidRPr="00447331">
        <w:rPr>
          <w:rStyle w:val="Heading3Char"/>
        </w:rPr>
        <w:t>Camila Rivera Torres</w:t>
      </w:r>
    </w:p>
    <w:p w14:paraId="0F2381D8" w14:textId="0F8CCFE2" w:rsidR="00F26841" w:rsidRDefault="00F26841" w:rsidP="00C23CDB">
      <w:pPr>
        <w:pStyle w:val="ListParagraph"/>
        <w:numPr>
          <w:ilvl w:val="0"/>
          <w:numId w:val="9"/>
        </w:numPr>
      </w:pPr>
      <w:r>
        <w:t>What are codes?</w:t>
      </w:r>
    </w:p>
    <w:p w14:paraId="280FB7D7" w14:textId="4566A4F6" w:rsidR="00F26841" w:rsidRDefault="00F26841" w:rsidP="00C23CDB">
      <w:pPr>
        <w:pStyle w:val="ListParagraph"/>
        <w:numPr>
          <w:ilvl w:val="0"/>
          <w:numId w:val="9"/>
        </w:numPr>
      </w:pPr>
      <w:r>
        <w:t xml:space="preserve">How do ethnographers prepare for </w:t>
      </w:r>
      <w:proofErr w:type="gramStart"/>
      <w:r>
        <w:t>coding</w:t>
      </w:r>
      <w:proofErr w:type="gramEnd"/>
    </w:p>
    <w:p w14:paraId="062334F9" w14:textId="715BFDD0" w:rsidR="00F26841" w:rsidRDefault="00F26841" w:rsidP="00C23CDB">
      <w:pPr>
        <w:pStyle w:val="ListParagraph"/>
        <w:numPr>
          <w:ilvl w:val="0"/>
          <w:numId w:val="9"/>
        </w:numPr>
      </w:pPr>
      <w:r>
        <w:t xml:space="preserve">The coding </w:t>
      </w:r>
      <w:proofErr w:type="gramStart"/>
      <w:r>
        <w:t>cycle</w:t>
      </w:r>
      <w:proofErr w:type="gramEnd"/>
    </w:p>
    <w:p w14:paraId="1DD97C7D" w14:textId="6E63F435" w:rsidR="00F26841" w:rsidRDefault="00F26841" w:rsidP="00F26841"/>
    <w:p w14:paraId="0CC60D3A" w14:textId="401EC773" w:rsidR="00196B2E" w:rsidRDefault="00605712" w:rsidP="00196B2E">
      <w:hyperlink r:id="rId20" w:history="1">
        <w:r w:rsidR="00196B2E" w:rsidRPr="00605712">
          <w:rPr>
            <w:rStyle w:val="Heading3Char"/>
          </w:rPr>
          <w:t>Analyzing Ethnographic Data</w:t>
        </w:r>
      </w:hyperlink>
      <w:r w:rsidR="00196B2E">
        <w:t xml:space="preserve"> </w:t>
      </w:r>
      <w:r w:rsidR="00196B2E">
        <w:rPr>
          <w:rStyle w:val="Heading3Char"/>
        </w:rPr>
        <w:t>April Burns</w:t>
      </w:r>
    </w:p>
    <w:p w14:paraId="24F6330D" w14:textId="265C0590" w:rsidR="00196B2E" w:rsidRDefault="00196B2E" w:rsidP="00C23CDB">
      <w:pPr>
        <w:pStyle w:val="ListParagraph"/>
        <w:numPr>
          <w:ilvl w:val="0"/>
          <w:numId w:val="12"/>
        </w:numPr>
      </w:pPr>
      <w:r>
        <w:t>Introduction</w:t>
      </w:r>
    </w:p>
    <w:p w14:paraId="1411506B" w14:textId="4DF8C904" w:rsidR="00196B2E" w:rsidRDefault="00196B2E" w:rsidP="00C23CDB">
      <w:pPr>
        <w:pStyle w:val="ListParagraph"/>
        <w:numPr>
          <w:ilvl w:val="0"/>
          <w:numId w:val="12"/>
        </w:numPr>
      </w:pPr>
      <w:r>
        <w:t>What is analysis and why do we do it?</w:t>
      </w:r>
    </w:p>
    <w:p w14:paraId="2F2C251E" w14:textId="38AAC4B9" w:rsidR="00196B2E" w:rsidRDefault="00196B2E" w:rsidP="00C23CDB">
      <w:pPr>
        <w:pStyle w:val="ListParagraph"/>
        <w:numPr>
          <w:ilvl w:val="0"/>
          <w:numId w:val="12"/>
        </w:numPr>
      </w:pPr>
      <w:r>
        <w:t>Analysis begins with coding</w:t>
      </w:r>
    </w:p>
    <w:p w14:paraId="0A49B597" w14:textId="693FD180" w:rsidR="00196B2E" w:rsidRDefault="00196B2E" w:rsidP="00C23CDB">
      <w:pPr>
        <w:pStyle w:val="ListParagraph"/>
        <w:numPr>
          <w:ilvl w:val="0"/>
          <w:numId w:val="12"/>
        </w:numPr>
      </w:pPr>
      <w:r>
        <w:t>Thematic analysis</w:t>
      </w:r>
    </w:p>
    <w:p w14:paraId="5054F9FC" w14:textId="50DE7C16" w:rsidR="00196B2E" w:rsidRDefault="00196B2E" w:rsidP="00C23CDB">
      <w:pPr>
        <w:pStyle w:val="ListParagraph"/>
        <w:numPr>
          <w:ilvl w:val="0"/>
          <w:numId w:val="12"/>
        </w:numPr>
      </w:pPr>
      <w:r>
        <w:t>How we identify themes</w:t>
      </w:r>
    </w:p>
    <w:p w14:paraId="74219489" w14:textId="02168954" w:rsidR="00196B2E" w:rsidRDefault="00196B2E" w:rsidP="00C23CDB">
      <w:pPr>
        <w:pStyle w:val="ListParagraph"/>
        <w:numPr>
          <w:ilvl w:val="0"/>
          <w:numId w:val="12"/>
        </w:numPr>
      </w:pPr>
      <w:r>
        <w:t>Additional ways to identify themes</w:t>
      </w:r>
    </w:p>
    <w:p w14:paraId="331AF0B8" w14:textId="7D60CADC" w:rsidR="00196B2E" w:rsidRDefault="00196B2E" w:rsidP="00C23CDB">
      <w:pPr>
        <w:pStyle w:val="ListParagraph"/>
        <w:numPr>
          <w:ilvl w:val="0"/>
          <w:numId w:val="12"/>
        </w:numPr>
      </w:pPr>
      <w:r>
        <w:t>Assertion Development</w:t>
      </w:r>
    </w:p>
    <w:p w14:paraId="0553613F" w14:textId="3EB814D6" w:rsidR="00196B2E" w:rsidRDefault="00196B2E" w:rsidP="00C23CDB">
      <w:pPr>
        <w:pStyle w:val="ListParagraph"/>
        <w:numPr>
          <w:ilvl w:val="0"/>
          <w:numId w:val="12"/>
        </w:numPr>
      </w:pPr>
      <w:r>
        <w:t>Negative cases/outliers</w:t>
      </w:r>
    </w:p>
    <w:p w14:paraId="37042445" w14:textId="11296C18" w:rsidR="00196B2E" w:rsidRDefault="00196B2E" w:rsidP="00C23CDB">
      <w:pPr>
        <w:pStyle w:val="ListParagraph"/>
        <w:numPr>
          <w:ilvl w:val="0"/>
          <w:numId w:val="12"/>
        </w:numPr>
      </w:pPr>
      <w:r>
        <w:lastRenderedPageBreak/>
        <w:t>When you feel stuck</w:t>
      </w:r>
    </w:p>
    <w:p w14:paraId="0B9C7876" w14:textId="77777777" w:rsidR="00196B2E" w:rsidRDefault="00196B2E" w:rsidP="00F26841"/>
    <w:p w14:paraId="095127FD" w14:textId="77777777" w:rsidR="00685FFB" w:rsidRDefault="00685FFB" w:rsidP="00685FFB">
      <w:pPr>
        <w:pStyle w:val="ListParagraph"/>
        <w:ind w:left="1080"/>
      </w:pPr>
    </w:p>
    <w:p w14:paraId="0FF7DBDC" w14:textId="2C72A3C8" w:rsidR="00046204" w:rsidRPr="00C37F0E" w:rsidRDefault="00605712" w:rsidP="00C37F0E">
      <w:pPr>
        <w:pStyle w:val="Heading3"/>
        <w:rPr>
          <w:rStyle w:val="Hyperlink"/>
          <w:color w:val="1F3763" w:themeColor="accent1" w:themeShade="7F"/>
          <w:u w:val="none"/>
        </w:rPr>
      </w:pPr>
      <w:hyperlink r:id="rId21" w:history="1">
        <w:r w:rsidR="00046204" w:rsidRPr="00C37F0E">
          <w:rPr>
            <w:rStyle w:val="Hyperlink"/>
            <w:color w:val="1F3763" w:themeColor="accent1" w:themeShade="7F"/>
            <w:u w:val="none"/>
          </w:rPr>
          <w:t>Glossary</w:t>
        </w:r>
      </w:hyperlink>
    </w:p>
    <w:p w14:paraId="0977D727" w14:textId="77777777" w:rsidR="00685FFB" w:rsidRDefault="00685FFB" w:rsidP="00D56F75"/>
    <w:p w14:paraId="272FF9D9" w14:textId="3A4807DC" w:rsidR="000959AA" w:rsidRPr="00C37F0E" w:rsidRDefault="00605712" w:rsidP="00C37F0E">
      <w:pPr>
        <w:pStyle w:val="Heading3"/>
        <w:rPr>
          <w:rStyle w:val="Hyperlink"/>
          <w:color w:val="1F3763" w:themeColor="accent1" w:themeShade="7F"/>
          <w:u w:val="none"/>
        </w:rPr>
      </w:pPr>
      <w:hyperlink r:id="rId22" w:history="1">
        <w:r w:rsidR="00685FFB" w:rsidRPr="00C37F0E">
          <w:rPr>
            <w:rStyle w:val="Hyperlink"/>
            <w:color w:val="1F3763" w:themeColor="accent1" w:themeShade="7F"/>
            <w:u w:val="none"/>
          </w:rPr>
          <w:t>References</w:t>
        </w:r>
      </w:hyperlink>
    </w:p>
    <w:p w14:paraId="2C647838" w14:textId="77777777" w:rsidR="00685FFB" w:rsidRDefault="00685FFB" w:rsidP="00D56F75"/>
    <w:p w14:paraId="27041D0B" w14:textId="273E2308" w:rsidR="00046204" w:rsidRPr="00C37F0E" w:rsidRDefault="00605712" w:rsidP="00C37F0E">
      <w:pPr>
        <w:pStyle w:val="Heading3"/>
      </w:pPr>
      <w:hyperlink r:id="rId23" w:history="1">
        <w:r w:rsidR="00046204" w:rsidRPr="00C37F0E">
          <w:rPr>
            <w:rStyle w:val="Hyperlink"/>
            <w:color w:val="1F3763" w:themeColor="accent1" w:themeShade="7F"/>
            <w:u w:val="none"/>
          </w:rPr>
          <w:t>Biographies</w:t>
        </w:r>
      </w:hyperlink>
    </w:p>
    <w:p w14:paraId="3FBDD6C0" w14:textId="7B2E849F" w:rsidR="00306DAA" w:rsidRDefault="00D56F75" w:rsidP="00D56F75">
      <w:r>
        <w:tab/>
      </w:r>
    </w:p>
    <w:p w14:paraId="42A2AFB0" w14:textId="77777777" w:rsidR="00306DAA" w:rsidRDefault="00306DAA">
      <w:r>
        <w:br w:type="page"/>
      </w:r>
    </w:p>
    <w:p w14:paraId="5CAB1109" w14:textId="77777777" w:rsidR="00306DAA" w:rsidRDefault="00306DAA" w:rsidP="00306DAA">
      <w:pPr>
        <w:pStyle w:val="Heading1"/>
      </w:pPr>
      <w:r>
        <w:lastRenderedPageBreak/>
        <w:t>Understanding</w:t>
      </w:r>
      <w:r w:rsidRPr="00F60E8C">
        <w:t xml:space="preserve"> </w:t>
      </w:r>
      <w:r>
        <w:t>E</w:t>
      </w:r>
      <w:r w:rsidRPr="00F60E8C">
        <w:t>thnography</w:t>
      </w:r>
    </w:p>
    <w:p w14:paraId="29B969B3" w14:textId="77777777" w:rsidR="00306DAA" w:rsidRPr="00BF1883" w:rsidRDefault="00306DAA" w:rsidP="00306DAA">
      <w:pPr>
        <w:jc w:val="center"/>
      </w:pPr>
      <w:r>
        <w:t>By Maureen E. Sheridan</w:t>
      </w:r>
    </w:p>
    <w:p w14:paraId="4918D34A" w14:textId="77777777" w:rsidR="00306DAA" w:rsidRPr="003F3EBB" w:rsidRDefault="00306DAA" w:rsidP="00306DAA"/>
    <w:p w14:paraId="586EA0DD" w14:textId="77777777" w:rsidR="00306DAA" w:rsidRPr="00F60E8C" w:rsidRDefault="00306DAA" w:rsidP="00306DAA">
      <w:pPr>
        <w:pStyle w:val="Heading2"/>
      </w:pPr>
      <w:r>
        <w:t>Defining Ethnography</w:t>
      </w:r>
    </w:p>
    <w:p w14:paraId="271E161A" w14:textId="77777777" w:rsidR="00306DAA" w:rsidRDefault="00306DAA" w:rsidP="00306DAA"/>
    <w:p w14:paraId="4842B8CA" w14:textId="77777777" w:rsidR="00306DAA" w:rsidRDefault="00306DAA" w:rsidP="00306DAA">
      <w:r w:rsidRPr="003F3EBB">
        <w:tab/>
        <w:t>At its most basic core, ethnography is "writing about people."</w:t>
      </w:r>
      <w:r>
        <w:t xml:space="preserve"> </w:t>
      </w:r>
      <w:r w:rsidRPr="003F3EBB">
        <w:t>Ethnography is a research method that permits researchers to explore and examine the cultures and societies that are a vital part of th</w:t>
      </w:r>
      <w:r w:rsidRPr="00B04122">
        <w:t xml:space="preserve">e human experience. </w:t>
      </w:r>
      <w:r w:rsidRPr="003F3EBB">
        <w:t xml:space="preserve">This chapter </w:t>
      </w:r>
      <w:r>
        <w:t>will</w:t>
      </w:r>
      <w:r w:rsidRPr="003F3EBB">
        <w:t xml:space="preserve"> </w:t>
      </w:r>
      <w:r>
        <w:t xml:space="preserve">broaden the reader's understanding of what ethnography is and gives a brief history of its origin. Chapter One </w:t>
      </w:r>
      <w:r w:rsidRPr="003F3EBB">
        <w:t>look</w:t>
      </w:r>
      <w:r>
        <w:t>s to inform the reader about how researchers are utilizing modern contemporary ethnography. In recent years, it has become more relevant in multiple disciplines in the field of social sciences. Its</w:t>
      </w:r>
      <w:r w:rsidRPr="003F3EBB">
        <w:t xml:space="preserve"> popularity </w:t>
      </w:r>
      <w:r>
        <w:t>has grown in use due to its ability</w:t>
      </w:r>
      <w:r w:rsidRPr="003F3EBB">
        <w:t xml:space="preserve"> to collect data on living subjects</w:t>
      </w:r>
      <w:r>
        <w:t xml:space="preserve"> from a first-hand perspective (</w:t>
      </w:r>
      <w:proofErr w:type="spellStart"/>
      <w:r>
        <w:t>Alasuutari</w:t>
      </w:r>
      <w:proofErr w:type="spellEnd"/>
      <w:r>
        <w:t xml:space="preserve">, 1995; Bryman, 2004; Ladner, 2014; Murchison, 2010; </w:t>
      </w:r>
      <w:proofErr w:type="spellStart"/>
      <w:r>
        <w:t>Tombro</w:t>
      </w:r>
      <w:proofErr w:type="spellEnd"/>
      <w:r>
        <w:t>, 2016)</w:t>
      </w:r>
      <w:r w:rsidRPr="003F3EBB">
        <w:t>.</w:t>
      </w:r>
    </w:p>
    <w:p w14:paraId="42B7F2F3" w14:textId="77777777" w:rsidR="00306DAA" w:rsidRDefault="00306DAA" w:rsidP="00306DAA"/>
    <w:p w14:paraId="25F03EC1" w14:textId="77777777" w:rsidR="00306DAA" w:rsidRDefault="00306DAA" w:rsidP="00306DAA">
      <w:r>
        <w:tab/>
        <w:t>A</w:t>
      </w:r>
      <w:r w:rsidRPr="001D73F6">
        <w:t>pproach</w:t>
      </w:r>
      <w:r>
        <w:t>ing</w:t>
      </w:r>
      <w:r w:rsidRPr="001D73F6">
        <w:t xml:space="preserve"> </w:t>
      </w:r>
      <w:r>
        <w:t xml:space="preserve">research with the ethnographic method </w:t>
      </w:r>
      <w:r w:rsidRPr="001D73F6">
        <w:t xml:space="preserve">may be </w:t>
      </w:r>
      <w:r>
        <w:t>unlikely for</w:t>
      </w:r>
      <w:r w:rsidRPr="001D73F6">
        <w:t xml:space="preserve"> researchers who are </w:t>
      </w:r>
      <w:r>
        <w:t xml:space="preserve">not yet </w:t>
      </w:r>
      <w:r w:rsidRPr="001D73F6">
        <w:t>acquainted to</w:t>
      </w:r>
      <w:r>
        <w:t xml:space="preserve"> it and, instead, approach research in a</w:t>
      </w:r>
      <w:r w:rsidRPr="001D73F6">
        <w:t xml:space="preserve"> more traditional </w:t>
      </w:r>
      <w:r>
        <w:t>way</w:t>
      </w:r>
      <w:r w:rsidRPr="001D73F6">
        <w:t xml:space="preserve">. Yet, we find that ethnography can be an essential approach for many researchers </w:t>
      </w:r>
      <w:r>
        <w:t>looking</w:t>
      </w:r>
      <w:r w:rsidRPr="001D73F6">
        <w:t xml:space="preserve"> to evaluate and investigate basic social circumstances (Schensul &amp; LeCompte, 2012). </w:t>
      </w:r>
      <w:r>
        <w:t>At times</w:t>
      </w:r>
      <w:r w:rsidRPr="001D73F6">
        <w:t xml:space="preserve"> ethnography is the best tool to use to explore ongoing events in context </w:t>
      </w:r>
      <w:r>
        <w:t>where</w:t>
      </w:r>
      <w:r w:rsidRPr="001D73F6">
        <w:t xml:space="preserve"> other methods, such as controlled experiments or collections of quantifiable data do not.</w:t>
      </w:r>
    </w:p>
    <w:p w14:paraId="0CA429DD" w14:textId="77777777" w:rsidR="00306DAA" w:rsidRDefault="00306DAA" w:rsidP="00306DAA"/>
    <w:p w14:paraId="10E6BC29" w14:textId="77777777" w:rsidR="00306DAA" w:rsidRDefault="00306DAA" w:rsidP="00306DAA">
      <w:r>
        <w:tab/>
        <w:t>Most</w:t>
      </w:r>
      <w:r w:rsidRPr="003F3EBB">
        <w:t xml:space="preserve"> scientific research strategies are </w:t>
      </w:r>
      <w:r>
        <w:t xml:space="preserve">typically </w:t>
      </w:r>
      <w:r w:rsidRPr="003F3EBB">
        <w:t xml:space="preserve">done </w:t>
      </w:r>
      <w:r>
        <w:t xml:space="preserve">from the perspective of </w:t>
      </w:r>
      <w:r w:rsidRPr="003F3EBB">
        <w:t>a detached observer. The</w:t>
      </w:r>
      <w:r>
        <w:t xml:space="preserve"> difference between these traditional methods and ethnography is that the ethnographic method allows the researcher to capture data in the role of active participant and passive observer. </w:t>
      </w:r>
      <w:r w:rsidRPr="003F3EBB">
        <w:t xml:space="preserve">So how does one reconcile being active and passive at the same time? The ethnographer gathers data through observation, interviews, </w:t>
      </w:r>
      <w:r>
        <w:t>field</w:t>
      </w:r>
      <w:r w:rsidRPr="003F3EBB">
        <w:t xml:space="preserve">notes, </w:t>
      </w:r>
      <w:r>
        <w:t>and mapping</w:t>
      </w:r>
      <w:r w:rsidRPr="003F3EBB">
        <w:t xml:space="preserve"> as well as gains insight through </w:t>
      </w:r>
      <w:r w:rsidRPr="003F3EBB">
        <w:rPr>
          <w:i/>
        </w:rPr>
        <w:t xml:space="preserve">firsthand </w:t>
      </w:r>
      <w:r w:rsidRPr="003F3EBB">
        <w:t>involvement with research subjects or participants</w:t>
      </w:r>
      <w:r>
        <w:t xml:space="preserve"> (</w:t>
      </w:r>
      <w:proofErr w:type="spellStart"/>
      <w:r>
        <w:t>Alasuutari</w:t>
      </w:r>
      <w:proofErr w:type="spellEnd"/>
      <w:r>
        <w:t xml:space="preserve">, 1995; Anderson, 1994; Murchison, 2010; </w:t>
      </w:r>
      <w:proofErr w:type="spellStart"/>
      <w:r>
        <w:t>Tombro</w:t>
      </w:r>
      <w:proofErr w:type="spellEnd"/>
      <w:r>
        <w:t xml:space="preserve">, 2016; Van </w:t>
      </w:r>
      <w:proofErr w:type="spellStart"/>
      <w:r>
        <w:t>Mannen</w:t>
      </w:r>
      <w:proofErr w:type="spellEnd"/>
      <w:r>
        <w:t>, 2003)</w:t>
      </w:r>
      <w:r w:rsidRPr="003F3EBB">
        <w:t xml:space="preserve">. The ethnographer mainly conducts research by interacting with other </w:t>
      </w:r>
      <w:r>
        <w:t>people</w:t>
      </w:r>
      <w:r w:rsidRPr="003F3EBB">
        <w:t xml:space="preserve"> who are part of the study. This partnership or interaction takes on many forms, from conversations and interviews to </w:t>
      </w:r>
      <w:r>
        <w:t xml:space="preserve">participating in </w:t>
      </w:r>
      <w:r w:rsidRPr="003F3EBB">
        <w:t xml:space="preserve">shared rituals, symbols, </w:t>
      </w:r>
      <w:r>
        <w:t xml:space="preserve">artifacts, </w:t>
      </w:r>
      <w:r w:rsidRPr="003F3EBB">
        <w:t>and emotional experiences.</w:t>
      </w:r>
      <w:r>
        <w:t xml:space="preserve"> The ethnographer actively participates and gathers information while, at the same time, tries to remain an objective observer.</w:t>
      </w:r>
    </w:p>
    <w:p w14:paraId="7ECD1F32" w14:textId="77777777" w:rsidR="00306DAA" w:rsidRDefault="00306DAA" w:rsidP="00306DAA"/>
    <w:p w14:paraId="1E32CB1C" w14:textId="77777777" w:rsidR="00306DAA" w:rsidRPr="001D73F6" w:rsidRDefault="00306DAA" w:rsidP="00306DAA">
      <w:pPr>
        <w:rPr>
          <w:b/>
          <w:bCs/>
        </w:rPr>
      </w:pPr>
      <w:r>
        <w:rPr>
          <w:b/>
          <w:bCs/>
        </w:rPr>
        <w:t>Studying Cultural Phenomena</w:t>
      </w:r>
    </w:p>
    <w:p w14:paraId="1DA6B416" w14:textId="77777777" w:rsidR="00306DAA" w:rsidRDefault="00306DAA" w:rsidP="00306DAA"/>
    <w:p w14:paraId="1F576B56" w14:textId="77777777" w:rsidR="00306DAA" w:rsidRDefault="00306DAA" w:rsidP="00306DAA">
      <w:r w:rsidRPr="003F3EBB">
        <w:tab/>
      </w:r>
      <w:r>
        <w:t>Like</w:t>
      </w:r>
      <w:r w:rsidRPr="003F3EBB">
        <w:t xml:space="preserve"> </w:t>
      </w:r>
      <w:r>
        <w:t>ethnographic frameworks infused</w:t>
      </w:r>
      <w:r w:rsidRPr="003F3EBB">
        <w:t xml:space="preserve"> in</w:t>
      </w:r>
      <w:r>
        <w:t>to the social sciences,</w:t>
      </w:r>
      <w:r w:rsidRPr="003F3EBB">
        <w:t xml:space="preserve"> </w:t>
      </w:r>
      <w:r>
        <w:t xml:space="preserve">it has been noted that </w:t>
      </w:r>
      <w:r w:rsidRPr="003F3EBB">
        <w:t xml:space="preserve">the </w:t>
      </w:r>
      <w:r>
        <w:t>best</w:t>
      </w:r>
      <w:r w:rsidRPr="003F3EBB">
        <w:t xml:space="preserve"> way to study social and cultural phenomena is to study them </w:t>
      </w:r>
      <w:r w:rsidRPr="003F3EBB">
        <w:rPr>
          <w:iCs/>
        </w:rPr>
        <w:t>in action.</w:t>
      </w:r>
      <w:r w:rsidRPr="003F3EBB">
        <w:t xml:space="preserve"> The complexity of humans and their social interactions cannot be captured in a picture or sterile laboratory as there are no strict control of variables in ethnography. </w:t>
      </w:r>
      <w:r>
        <w:t xml:space="preserve">Analyzing initial data collection and comparing the experiences captured over time may </w:t>
      </w:r>
      <w:r w:rsidRPr="003F3EBB">
        <w:t xml:space="preserve">result </w:t>
      </w:r>
      <w:r>
        <w:t>in the researcher having to tweak the research process. This comes</w:t>
      </w:r>
      <w:r w:rsidRPr="003F3EBB">
        <w:t xml:space="preserve"> </w:t>
      </w:r>
      <w:r>
        <w:t>after viewing</w:t>
      </w:r>
      <w:r w:rsidRPr="003F3EBB">
        <w:t xml:space="preserve"> conflict</w:t>
      </w:r>
      <w:r>
        <w:t>s over time</w:t>
      </w:r>
      <w:r w:rsidRPr="003F3EBB">
        <w:t xml:space="preserve"> a</w:t>
      </w:r>
      <w:r>
        <w:t>s well as</w:t>
      </w:r>
      <w:r w:rsidRPr="003F3EBB">
        <w:t xml:space="preserve"> other </w:t>
      </w:r>
      <w:r>
        <w:t>variables</w:t>
      </w:r>
      <w:r w:rsidRPr="003F3EBB">
        <w:t xml:space="preserve"> found within the environment under investigation. Ethnographers employ multiple research </w:t>
      </w:r>
      <w:r w:rsidRPr="003F3EBB">
        <w:lastRenderedPageBreak/>
        <w:t xml:space="preserve">techniques and methods in a complex research strategy that matches the complexity of the living objects </w:t>
      </w:r>
      <w:r>
        <w:t xml:space="preserve">under investigation (Bryman, 2004; Ladner, 2014; </w:t>
      </w:r>
      <w:proofErr w:type="spellStart"/>
      <w:r>
        <w:t>Tombro</w:t>
      </w:r>
      <w:proofErr w:type="spellEnd"/>
      <w:r>
        <w:t>, 2016)</w:t>
      </w:r>
      <w:r w:rsidRPr="003F3EBB">
        <w:t>.</w:t>
      </w:r>
    </w:p>
    <w:p w14:paraId="77BD96AF" w14:textId="77777777" w:rsidR="00306DAA" w:rsidRPr="003F3EBB" w:rsidRDefault="00306DAA" w:rsidP="00306DAA"/>
    <w:p w14:paraId="3F4AAC9D" w14:textId="77777777" w:rsidR="00306DAA" w:rsidRDefault="00306DAA" w:rsidP="00306DAA">
      <w:r w:rsidRPr="003F3EBB">
        <w:tab/>
      </w:r>
      <w:r>
        <w:t>An important thing to note is that e</w:t>
      </w:r>
      <w:r w:rsidRPr="003F3EBB">
        <w:t xml:space="preserve">thnography is not a static process. </w:t>
      </w:r>
      <w:r>
        <w:t>And that i</w:t>
      </w:r>
      <w:r w:rsidRPr="003F3EBB">
        <w:t xml:space="preserve">t occurs over a </w:t>
      </w:r>
      <w:r>
        <w:t>prolonged</w:t>
      </w:r>
      <w:r w:rsidRPr="003F3EBB">
        <w:t xml:space="preserve"> </w:t>
      </w:r>
      <w:proofErr w:type="gramStart"/>
      <w:r w:rsidRPr="003F3EBB">
        <w:t xml:space="preserve">period of </w:t>
      </w:r>
      <w:r>
        <w:t>time</w:t>
      </w:r>
      <w:proofErr w:type="gramEnd"/>
      <w:r>
        <w:t xml:space="preserve"> of</w:t>
      </w:r>
      <w:r w:rsidRPr="003F3EBB">
        <w:t xml:space="preserve"> weeks, months, or even years. </w:t>
      </w:r>
      <w:r>
        <w:t>E</w:t>
      </w:r>
      <w:r w:rsidRPr="003F3EBB">
        <w:t xml:space="preserve">thnographic research incorporates multiple types of research methods and techniques from </w:t>
      </w:r>
      <w:r>
        <w:t xml:space="preserve">active participation to passive </w:t>
      </w:r>
      <w:r w:rsidRPr="003F3EBB">
        <w:t>observation</w:t>
      </w:r>
      <w:r>
        <w:t xml:space="preserve"> and can incorporate </w:t>
      </w:r>
      <w:r w:rsidRPr="003F3EBB">
        <w:t>interviews, focus groups, note taking, and mapping, among othe</w:t>
      </w:r>
      <w:r>
        <w:t>rs</w:t>
      </w:r>
      <w:r w:rsidRPr="003F3EBB">
        <w:t>.</w:t>
      </w:r>
      <w:r>
        <w:t xml:space="preserve"> </w:t>
      </w:r>
      <w:proofErr w:type="gramStart"/>
      <w:r w:rsidRPr="003F3EBB">
        <w:t>Th</w:t>
      </w:r>
      <w:r>
        <w:t>is</w:t>
      </w:r>
      <w:r w:rsidRPr="003F3EBB">
        <w:t xml:space="preserve"> is why</w:t>
      </w:r>
      <w:proofErr w:type="gramEnd"/>
      <w:r w:rsidRPr="003F3EBB">
        <w:t xml:space="preserve"> ethnography is not usually the research method of choice by many social scientists.</w:t>
      </w:r>
      <w:r>
        <w:t xml:space="preserve"> Social scientists in the past have chosen to use surveys, static interviews, focus groups but using them as singular events, etc. However, the ethnographic research method has gained traction as social science trends continue to indicate.</w:t>
      </w:r>
      <w:r w:rsidRPr="003F3EBB">
        <w:t xml:space="preserve"> </w:t>
      </w:r>
      <w:r>
        <w:t>Murchison (2010) argued that "t</w:t>
      </w:r>
      <w:r w:rsidRPr="003F3EBB">
        <w:t>oday, researchers employ ethnography as a research strategy in a number of disciplines, including anthropology, sociology, and education, and as a practical research strategy in marketing, management, and public policy arenas" (</w:t>
      </w:r>
      <w:r>
        <w:t>p. 4</w:t>
      </w:r>
      <w:r w:rsidRPr="003F3EBB">
        <w:t xml:space="preserve">). This demonstration of widespread use indicates that the utility of the approach has become evident in many different situations where a better understanding of social and cultural dynamics is desired. </w:t>
      </w:r>
    </w:p>
    <w:p w14:paraId="2ECCD263" w14:textId="77777777" w:rsidR="00306DAA" w:rsidRDefault="00306DAA" w:rsidP="00306DAA"/>
    <w:p w14:paraId="02AFE128" w14:textId="77777777" w:rsidR="00306DAA" w:rsidRDefault="00306DAA" w:rsidP="00306DAA">
      <w:pPr>
        <w:pStyle w:val="Heading2"/>
      </w:pPr>
      <w:r>
        <w:t>Maintaining a Naïve State of Mind as a First-Hand Observer</w:t>
      </w:r>
    </w:p>
    <w:p w14:paraId="305D700F" w14:textId="77777777" w:rsidR="00306DAA" w:rsidRDefault="00306DAA" w:rsidP="00306DAA"/>
    <w:p w14:paraId="0BA0AF98" w14:textId="77777777" w:rsidR="00306DAA" w:rsidRPr="00FA015E" w:rsidRDefault="00306DAA" w:rsidP="00306DAA">
      <w:r>
        <w:tab/>
        <w:t>Early ethnographers</w:t>
      </w:r>
      <w:r w:rsidRPr="00FA015E">
        <w:t xml:space="preserve"> wrote about what they saw and heard but did not go into detail to describe how they </w:t>
      </w:r>
      <w:r>
        <w:t xml:space="preserve">captured </w:t>
      </w:r>
      <w:r w:rsidRPr="00FA015E">
        <w:t>their research</w:t>
      </w:r>
      <w:r>
        <w:t xml:space="preserve"> data</w:t>
      </w:r>
      <w:r w:rsidRPr="00FA015E">
        <w:t xml:space="preserve"> or </w:t>
      </w:r>
      <w:r>
        <w:t>formed their conclusion</w:t>
      </w:r>
      <w:r w:rsidRPr="00FA015E">
        <w:t xml:space="preserve">. Most early ethnographic </w:t>
      </w:r>
      <w:r>
        <w:t>accounts did</w:t>
      </w:r>
      <w:r w:rsidRPr="00FA015E">
        <w:t xml:space="preserve"> not include the method of research collection</w:t>
      </w:r>
      <w:r>
        <w:t xml:space="preserve"> as part of the description in the research study</w:t>
      </w:r>
      <w:r w:rsidRPr="00FA015E">
        <w:t>.</w:t>
      </w:r>
      <w:r>
        <w:t xml:space="preserve"> It was believed that the pioneers of ethnography did </w:t>
      </w:r>
      <w:r w:rsidRPr="00FA015E">
        <w:t xml:space="preserve">not fully </w:t>
      </w:r>
      <w:r>
        <w:t>understand</w:t>
      </w:r>
      <w:r w:rsidRPr="00FA015E">
        <w:t xml:space="preserve"> research practices</w:t>
      </w:r>
      <w:r>
        <w:t xml:space="preserve"> (Anderson, 1994; Averill, 1996; Murchison, 2010; </w:t>
      </w:r>
      <w:proofErr w:type="spellStart"/>
      <w:r>
        <w:t>Tombro</w:t>
      </w:r>
      <w:proofErr w:type="spellEnd"/>
      <w:r>
        <w:t xml:space="preserve">, 2016; Van </w:t>
      </w:r>
      <w:proofErr w:type="spellStart"/>
      <w:r>
        <w:t>Mannen</w:t>
      </w:r>
      <w:proofErr w:type="spellEnd"/>
      <w:r>
        <w:t>, 2003)</w:t>
      </w:r>
      <w:r w:rsidRPr="00FA015E">
        <w:t xml:space="preserve">. </w:t>
      </w:r>
      <w:r>
        <w:t>Another consideration was that m</w:t>
      </w:r>
      <w:r w:rsidRPr="00FA015E">
        <w:t xml:space="preserve">ost of </w:t>
      </w:r>
      <w:r>
        <w:t>earlier ethnographic reports were</w:t>
      </w:r>
      <w:r w:rsidRPr="00FA015E">
        <w:t xml:space="preserve"> done in places that required the researcher to travel many miles away from their homeland and study groups of individuals who likely did not speak the same language. Early ethnography ignored much of the complexity found in the human experience. Instead it made a lot of assumptions based on </w:t>
      </w:r>
      <w:r>
        <w:t>the researcher's</w:t>
      </w:r>
      <w:r w:rsidRPr="00FA015E">
        <w:t xml:space="preserve"> own personal bias or </w:t>
      </w:r>
      <w:r>
        <w:t xml:space="preserve">their </w:t>
      </w:r>
      <w:r w:rsidRPr="00FA015E">
        <w:t>lack of understanding about the phenomena under investigation.</w:t>
      </w:r>
      <w:r>
        <w:t xml:space="preserve"> Today, the ethnographer tries to avoid bringing in their personal biases and instead remain in a naïve state of mind. They try not to assume or manipulate what the outcome will be.</w:t>
      </w:r>
    </w:p>
    <w:p w14:paraId="2E7D10EB" w14:textId="77777777" w:rsidR="00306DAA" w:rsidRDefault="00306DAA" w:rsidP="00306DAA"/>
    <w:p w14:paraId="0EFED1C7" w14:textId="77777777" w:rsidR="00306DAA" w:rsidRPr="00512EDA" w:rsidRDefault="00306DAA" w:rsidP="00306DAA">
      <w:r>
        <w:tab/>
      </w:r>
      <w:r w:rsidRPr="00512EDA">
        <w:t xml:space="preserve">The fundamental assumption in ethnography’s commitment to remaining </w:t>
      </w:r>
      <w:r>
        <w:t>attractive as a method of research is</w:t>
      </w:r>
      <w:r w:rsidRPr="00512EDA">
        <w:t xml:space="preserve"> that certain types of information are only obtainable through first-hand </w:t>
      </w:r>
      <w:r>
        <w:t>experience</w:t>
      </w:r>
      <w:r w:rsidRPr="00512EDA">
        <w:t xml:space="preserve">. The belief that </w:t>
      </w:r>
      <w:r>
        <w:t>ethnography</w:t>
      </w:r>
      <w:r w:rsidRPr="00512EDA">
        <w:t xml:space="preserve"> affords the researcher a better understanding of a </w:t>
      </w:r>
      <w:proofErr w:type="gramStart"/>
      <w:r w:rsidRPr="00512EDA">
        <w:t>particular place</w:t>
      </w:r>
      <w:proofErr w:type="gramEnd"/>
      <w:r w:rsidRPr="00512EDA">
        <w:t xml:space="preserve"> or culture under investigation stems from the fact that the researcher acts as both participant and observer. A survey, for example, is an instrument that can provide a researcher </w:t>
      </w:r>
      <w:r>
        <w:t xml:space="preserve">rich </w:t>
      </w:r>
      <w:r w:rsidRPr="00512EDA">
        <w:t xml:space="preserve">information about demographics, political opinions, economic activities, and many other things. </w:t>
      </w:r>
      <w:r>
        <w:t xml:space="preserve">A survey </w:t>
      </w:r>
      <w:r w:rsidRPr="00512EDA">
        <w:t>can yield</w:t>
      </w:r>
      <w:r>
        <w:t xml:space="preserve"> a multitude of</w:t>
      </w:r>
      <w:r w:rsidRPr="00512EDA">
        <w:t xml:space="preserve"> useful information but must be well designed and administered properly. The benefit of a survey instrument is that it can be carried out </w:t>
      </w:r>
      <w:proofErr w:type="gramStart"/>
      <w:r w:rsidRPr="00512EDA">
        <w:t>fairly quickly</w:t>
      </w:r>
      <w:proofErr w:type="gramEnd"/>
      <w:r w:rsidRPr="00512EDA">
        <w:t xml:space="preserve"> and i</w:t>
      </w:r>
      <w:r>
        <w:t>t</w:t>
      </w:r>
      <w:r w:rsidRPr="00512EDA">
        <w:t xml:space="preserve"> may even be conducted at a distance using </w:t>
      </w:r>
      <w:r>
        <w:t>standard or electronic means of communication such as telephones, mail, or through the Internet</w:t>
      </w:r>
      <w:r w:rsidRPr="00512EDA">
        <w:t>.</w:t>
      </w:r>
    </w:p>
    <w:p w14:paraId="60C280EE" w14:textId="77777777" w:rsidR="00306DAA" w:rsidRDefault="00306DAA" w:rsidP="00306DAA"/>
    <w:p w14:paraId="20D908CC" w14:textId="77777777" w:rsidR="00306DAA" w:rsidRPr="00996123" w:rsidRDefault="00306DAA" w:rsidP="00306DAA">
      <w:r w:rsidRPr="00996123">
        <w:lastRenderedPageBreak/>
        <w:tab/>
        <w:t xml:space="preserve">Other disciplines that study human beings, particularly psychology, have intermittently </w:t>
      </w:r>
      <w:r>
        <w:t>used</w:t>
      </w:r>
      <w:r w:rsidRPr="00996123">
        <w:t xml:space="preserve"> </w:t>
      </w:r>
      <w:r>
        <w:t>detached</w:t>
      </w:r>
      <w:r w:rsidRPr="00996123">
        <w:t xml:space="preserve"> observation as a research method</w:t>
      </w:r>
      <w:r>
        <w:t xml:space="preserve"> (Creswell, 1994)</w:t>
      </w:r>
      <w:r w:rsidRPr="00996123">
        <w:t xml:space="preserve">. This approach places the researcher as a usually removed or detached entity. They are often either observing from a distance or looking through a video lens. It is necessary that the researcher does not directly interact with the participants so there is little or no chance of influencing the situation or subjects under investigation. Detached observation gives the researcher the ability to see how different individuals respond to certain stimuli and either react or problem-solve in the process. These are usually very controlled environments with very little variables to account for. </w:t>
      </w:r>
    </w:p>
    <w:p w14:paraId="413347E3" w14:textId="77777777" w:rsidR="00306DAA" w:rsidRDefault="00306DAA" w:rsidP="00306DAA"/>
    <w:p w14:paraId="675997C5" w14:textId="77777777" w:rsidR="00306DAA" w:rsidRPr="00996123" w:rsidRDefault="00306DAA" w:rsidP="00306DAA">
      <w:r w:rsidRPr="00996123">
        <w:tab/>
        <w:t xml:space="preserve">Ethnography is not like that. Much of the ethnographic process </w:t>
      </w:r>
      <w:r>
        <w:t xml:space="preserve">is as an </w:t>
      </w:r>
      <w:r w:rsidRPr="00996123">
        <w:t>active participant coupled with passive observation. It also has hundreds of uncontrollable variables and situations that could arise. The benefit of ethnography is that it can reveal and recount varying types of information that would not necessarily be readily obtainable through a more detached approach such as observations or surveys. Ethnography allows the researcher to collect and analyze the most relevant conditions or categories regarding the group being studied. The focus of the ethnographic method is on local styles of thought and mannerisms. Ethnography gives the researcher the ability to not only observe what is going on, but to also experience the events, interactions, conflicts, and rituals as manifestations of the larger group or culture under investigation.</w:t>
      </w:r>
    </w:p>
    <w:p w14:paraId="73204544" w14:textId="77777777" w:rsidR="00306DAA" w:rsidRDefault="00306DAA" w:rsidP="00306DAA"/>
    <w:p w14:paraId="380E46B4" w14:textId="77777777" w:rsidR="00306DAA" w:rsidRDefault="00306DAA" w:rsidP="00306DAA">
      <w:r w:rsidRPr="00996123">
        <w:tab/>
        <w:t>E</w:t>
      </w:r>
      <w:r w:rsidRPr="00BF7B44">
        <w:t xml:space="preserve">thnography </w:t>
      </w:r>
      <w:r>
        <w:t xml:space="preserve">may </w:t>
      </w:r>
      <w:r w:rsidRPr="00996123">
        <w:t>capture the</w:t>
      </w:r>
      <w:r w:rsidRPr="00BF7B44">
        <w:t xml:space="preserve"> </w:t>
      </w:r>
      <w:r w:rsidRPr="00996123">
        <w:t xml:space="preserve">disarray </w:t>
      </w:r>
      <w:r w:rsidRPr="00BF7B44">
        <w:t xml:space="preserve">of </w:t>
      </w:r>
      <w:r w:rsidRPr="00996123">
        <w:t xml:space="preserve">the </w:t>
      </w:r>
      <w:r>
        <w:t>culture or group</w:t>
      </w:r>
      <w:r w:rsidRPr="00996123">
        <w:t xml:space="preserve"> under study</w:t>
      </w:r>
      <w:r w:rsidRPr="00BF7B44">
        <w:t xml:space="preserve">. </w:t>
      </w:r>
      <w:r w:rsidRPr="00996123">
        <w:t xml:space="preserve">It is straightforward in the sense that although </w:t>
      </w:r>
      <w:r w:rsidRPr="00BF7B44">
        <w:t xml:space="preserve">the ethnographer </w:t>
      </w:r>
      <w:proofErr w:type="gramStart"/>
      <w:r w:rsidRPr="00BF7B44">
        <w:t>has to</w:t>
      </w:r>
      <w:proofErr w:type="gramEnd"/>
      <w:r w:rsidRPr="00BF7B44">
        <w:t xml:space="preserve"> </w:t>
      </w:r>
      <w:r w:rsidRPr="00996123">
        <w:t>relinquish</w:t>
      </w:r>
      <w:r w:rsidRPr="00BF7B44">
        <w:t xml:space="preserve"> </w:t>
      </w:r>
      <w:r w:rsidRPr="00996123">
        <w:t xml:space="preserve">much of the </w:t>
      </w:r>
      <w:r w:rsidRPr="00BF7B44">
        <w:t xml:space="preserve">control over the research situation, it </w:t>
      </w:r>
      <w:r w:rsidRPr="00996123">
        <w:t xml:space="preserve">allows </w:t>
      </w:r>
      <w:r w:rsidRPr="00BF7B44">
        <w:t>the</w:t>
      </w:r>
      <w:r w:rsidRPr="00996123">
        <w:t xml:space="preserve"> researcher the</w:t>
      </w:r>
      <w:r w:rsidRPr="00BF7B44">
        <w:t xml:space="preserve"> opportunity to study </w:t>
      </w:r>
      <w:r w:rsidRPr="00996123">
        <w:t>first-hand and get</w:t>
      </w:r>
      <w:r w:rsidRPr="00BF7B44">
        <w:t xml:space="preserve"> a</w:t>
      </w:r>
      <w:r w:rsidRPr="00996123">
        <w:t>n accurate</w:t>
      </w:r>
      <w:r w:rsidRPr="00BF7B44">
        <w:t xml:space="preserve"> </w:t>
      </w:r>
      <w:r w:rsidRPr="00996123">
        <w:t>grasp</w:t>
      </w:r>
      <w:r w:rsidRPr="00BF7B44">
        <w:t xml:space="preserve"> of </w:t>
      </w:r>
      <w:r w:rsidRPr="00996123">
        <w:t>the</w:t>
      </w:r>
      <w:r w:rsidRPr="00BF7B44">
        <w:t xml:space="preserve"> behavior</w:t>
      </w:r>
      <w:r w:rsidRPr="00996123">
        <w:t xml:space="preserve"> under investigation</w:t>
      </w:r>
      <w:r w:rsidRPr="00BF7B44">
        <w:t xml:space="preserve">. </w:t>
      </w:r>
      <w:r w:rsidRPr="00996123">
        <w:t>Murchison (2010) argued that "e</w:t>
      </w:r>
      <w:r w:rsidRPr="00BF7B44">
        <w:t>thnography allows the researcher to examine how people’s actions compare to what they say about their actions in ideal situations and their thoughts or opinions on particular topics</w:t>
      </w:r>
      <w:r w:rsidRPr="00996123">
        <w:t>"</w:t>
      </w:r>
      <w:r w:rsidRPr="00BF7B44">
        <w:t xml:space="preserve">. </w:t>
      </w:r>
      <w:r w:rsidRPr="00996123">
        <w:t>D</w:t>
      </w:r>
      <w:r w:rsidRPr="00BF7B44">
        <w:t>iffer</w:t>
      </w:r>
      <w:r w:rsidRPr="00996123">
        <w:t>ent outcomes</w:t>
      </w:r>
      <w:r w:rsidRPr="00BF7B44">
        <w:t xml:space="preserve"> </w:t>
      </w:r>
      <w:r w:rsidRPr="00996123">
        <w:t>can generate research questions that</w:t>
      </w:r>
      <w:r w:rsidRPr="00BF7B44">
        <w:t xml:space="preserve"> emerge </w:t>
      </w:r>
      <w:r w:rsidRPr="00996123">
        <w:t>out of re</w:t>
      </w:r>
      <w:r w:rsidRPr="00BF7B44">
        <w:t>searchers try</w:t>
      </w:r>
      <w:r w:rsidRPr="00996123">
        <w:t>ing</w:t>
      </w:r>
      <w:r w:rsidRPr="00BF7B44">
        <w:t xml:space="preserve"> to account for apparent </w:t>
      </w:r>
      <w:r w:rsidRPr="00996123">
        <w:t>disparities</w:t>
      </w:r>
      <w:r w:rsidRPr="00BF7B44">
        <w:t xml:space="preserve">. </w:t>
      </w:r>
      <w:r w:rsidRPr="00996123">
        <w:t>Sometimes researchers</w:t>
      </w:r>
      <w:r w:rsidRPr="00BF7B44">
        <w:t xml:space="preserve"> </w:t>
      </w:r>
      <w:r w:rsidRPr="00996123">
        <w:t>must</w:t>
      </w:r>
      <w:r w:rsidRPr="00BF7B44">
        <w:t xml:space="preserve"> turn</w:t>
      </w:r>
      <w:r w:rsidRPr="00996123">
        <w:t xml:space="preserve"> their</w:t>
      </w:r>
      <w:r w:rsidRPr="00BF7B44">
        <w:t xml:space="preserve"> attention to variables or questions that did not seem relevant </w:t>
      </w:r>
      <w:r w:rsidRPr="00996123">
        <w:t>at firs</w:t>
      </w:r>
      <w:r>
        <w:t xml:space="preserve">t (Anderson, 1994; Bryman, 2004; Murchison, 2010; </w:t>
      </w:r>
      <w:proofErr w:type="spellStart"/>
      <w:r>
        <w:t>Tombro</w:t>
      </w:r>
      <w:proofErr w:type="spellEnd"/>
      <w:r>
        <w:t>, 2016)</w:t>
      </w:r>
      <w:r w:rsidRPr="00BF7B44">
        <w:t>.</w:t>
      </w:r>
    </w:p>
    <w:p w14:paraId="16BB2AC1" w14:textId="77777777" w:rsidR="00306DAA" w:rsidRDefault="00306DAA" w:rsidP="00306DAA"/>
    <w:p w14:paraId="2563ECE8" w14:textId="77777777" w:rsidR="00306DAA" w:rsidRDefault="00306DAA" w:rsidP="00306DAA">
      <w:r w:rsidRPr="00A65918">
        <w:tab/>
      </w:r>
      <w:r w:rsidRPr="00014865">
        <w:t xml:space="preserve">The ethnographer’s </w:t>
      </w:r>
      <w:r w:rsidRPr="00A65918">
        <w:t>existence</w:t>
      </w:r>
      <w:r w:rsidRPr="00014865">
        <w:t xml:space="preserve"> in the research </w:t>
      </w:r>
      <w:r w:rsidRPr="00A65918">
        <w:t>site</w:t>
      </w:r>
      <w:r w:rsidRPr="00014865">
        <w:t xml:space="preserve"> </w:t>
      </w:r>
      <w:r w:rsidRPr="00A65918">
        <w:t>fosters</w:t>
      </w:r>
      <w:r w:rsidRPr="00014865">
        <w:t xml:space="preserve"> questions about </w:t>
      </w:r>
      <w:r w:rsidRPr="00A65918">
        <w:t xml:space="preserve">whether they can remain </w:t>
      </w:r>
      <w:r w:rsidRPr="00014865">
        <w:t>objectiv</w:t>
      </w:r>
      <w:r w:rsidRPr="00A65918">
        <w:t xml:space="preserve">e. The idea that the ethnographer is both participant and observer is an inherent contradiction of terms. It brings into questions </w:t>
      </w:r>
      <w:proofErr w:type="gramStart"/>
      <w:r w:rsidRPr="00A65918">
        <w:t>whether or not</w:t>
      </w:r>
      <w:proofErr w:type="gramEnd"/>
      <w:r w:rsidRPr="00A65918">
        <w:t xml:space="preserve"> it can be turned into a </w:t>
      </w:r>
      <w:r>
        <w:t>generalizable</w:t>
      </w:r>
      <w:r w:rsidRPr="00A65918">
        <w:t xml:space="preserve"> study of behavior as another researcher may not be able to duplicate the study with the same specificity as the first. This brings into question the idea of ethics in ethnographic research. How does the individuals under investigation interact with or react to the individual ethnographer on site? T</w:t>
      </w:r>
      <w:r w:rsidRPr="00014865">
        <w:t xml:space="preserve">hese </w:t>
      </w:r>
      <w:r w:rsidRPr="00A65918">
        <w:t>considerations</w:t>
      </w:r>
      <w:r w:rsidRPr="00014865">
        <w:t xml:space="preserve"> are important </w:t>
      </w:r>
      <w:r w:rsidRPr="00A65918">
        <w:t>matters</w:t>
      </w:r>
      <w:r w:rsidRPr="00014865">
        <w:t xml:space="preserve"> </w:t>
      </w:r>
      <w:r w:rsidRPr="00A65918">
        <w:t>when</w:t>
      </w:r>
      <w:r w:rsidRPr="00014865">
        <w:t xml:space="preserve"> designing and conducting the</w:t>
      </w:r>
      <w:r w:rsidRPr="00A65918">
        <w:t xml:space="preserve"> ethnographer's</w:t>
      </w:r>
      <w:r w:rsidRPr="00014865">
        <w:t xml:space="preserve"> research plan. Ethnographers </w:t>
      </w:r>
      <w:r w:rsidRPr="00A65918">
        <w:t>share different</w:t>
      </w:r>
      <w:r w:rsidRPr="00014865">
        <w:t xml:space="preserve"> </w:t>
      </w:r>
      <w:r w:rsidRPr="00A65918">
        <w:t>attitudes about</w:t>
      </w:r>
      <w:r w:rsidRPr="00014865">
        <w:t xml:space="preserve"> topics. </w:t>
      </w:r>
      <w:r w:rsidRPr="00A65918">
        <w:t>So</w:t>
      </w:r>
      <w:r>
        <w:t>, when</w:t>
      </w:r>
      <w:r w:rsidRPr="00A65918">
        <w:t xml:space="preserve"> designing a study, the researcher must acknowledge that there may be the need to further</w:t>
      </w:r>
      <w:r w:rsidRPr="00014865">
        <w:t xml:space="preserve"> explore questions that </w:t>
      </w:r>
      <w:r w:rsidRPr="00A65918">
        <w:t xml:space="preserve">may </w:t>
      </w:r>
      <w:r w:rsidRPr="00014865">
        <w:t xml:space="preserve">arise </w:t>
      </w:r>
      <w:r w:rsidRPr="00A65918">
        <w:t>or</w:t>
      </w:r>
      <w:r w:rsidRPr="00014865">
        <w:t xml:space="preserve"> </w:t>
      </w:r>
      <w:r w:rsidRPr="00A65918">
        <w:t>devise</w:t>
      </w:r>
      <w:r w:rsidRPr="00014865">
        <w:t xml:space="preserve"> strategies </w:t>
      </w:r>
      <w:r w:rsidRPr="00A65918">
        <w:t>to</w:t>
      </w:r>
      <w:r w:rsidRPr="00014865">
        <w:t xml:space="preserve"> make sense for </w:t>
      </w:r>
      <w:r w:rsidRPr="00A65918">
        <w:t>the individual researcher's</w:t>
      </w:r>
      <w:r w:rsidRPr="00014865">
        <w:t xml:space="preserve"> goals</w:t>
      </w:r>
      <w:r>
        <w:t xml:space="preserve"> (</w:t>
      </w:r>
      <w:proofErr w:type="spellStart"/>
      <w:r>
        <w:t>Alasuutari</w:t>
      </w:r>
      <w:proofErr w:type="spellEnd"/>
      <w:r>
        <w:t xml:space="preserve">, 1995; Anderson, 2004; Murchison, 2010; </w:t>
      </w:r>
      <w:proofErr w:type="spellStart"/>
      <w:r>
        <w:t>Tombro</w:t>
      </w:r>
      <w:proofErr w:type="spellEnd"/>
      <w:r>
        <w:t>, 2016)</w:t>
      </w:r>
      <w:r w:rsidRPr="00014865">
        <w:t>. Th</w:t>
      </w:r>
      <w:r w:rsidRPr="00A65918">
        <w:t>is does not bring into question the validity of ethnography, but rather, demonstrates that its very nature is</w:t>
      </w:r>
      <w:r w:rsidRPr="00014865">
        <w:t xml:space="preserve"> powerful and potentially </w:t>
      </w:r>
      <w:r w:rsidRPr="00A65918">
        <w:t>precarious</w:t>
      </w:r>
      <w:r>
        <w:t>.</w:t>
      </w:r>
    </w:p>
    <w:p w14:paraId="0ED6EA2C" w14:textId="77777777" w:rsidR="00306DAA" w:rsidRDefault="00306DAA" w:rsidP="00306DAA">
      <w:pPr>
        <w:pStyle w:val="Heading2"/>
      </w:pPr>
      <w:r>
        <w:lastRenderedPageBreak/>
        <w:t>Employing Ethnography</w:t>
      </w:r>
    </w:p>
    <w:p w14:paraId="65E244B1" w14:textId="77777777" w:rsidR="00306DAA" w:rsidRPr="0020269D" w:rsidRDefault="00306DAA" w:rsidP="00306DAA"/>
    <w:p w14:paraId="347228AC" w14:textId="77777777" w:rsidR="00306DAA" w:rsidRPr="0020269D" w:rsidRDefault="00306DAA" w:rsidP="00306DAA">
      <w:r w:rsidRPr="0020269D">
        <w:tab/>
        <w:t xml:space="preserve">Contemporary ethnography evolved over time into a methodical and useful research tool. Critics of classical ethnography </w:t>
      </w:r>
      <w:r>
        <w:t>started</w:t>
      </w:r>
      <w:r w:rsidRPr="0020269D">
        <w:t xml:space="preserve"> to </w:t>
      </w:r>
      <w:r>
        <w:t>question</w:t>
      </w:r>
      <w:r w:rsidRPr="0020269D">
        <w:t xml:space="preserve"> </w:t>
      </w:r>
      <w:r>
        <w:t xml:space="preserve">early </w:t>
      </w:r>
      <w:r w:rsidRPr="0020269D">
        <w:t>ethnograph</w:t>
      </w:r>
      <w:r>
        <w:t>er</w:t>
      </w:r>
      <w:r w:rsidRPr="0020269D">
        <w:t>’s reliance on models that assumed equality and balance.</w:t>
      </w:r>
      <w:r>
        <w:t xml:space="preserve"> </w:t>
      </w:r>
      <w:r w:rsidRPr="0020269D">
        <w:t>The</w:t>
      </w:r>
      <w:r>
        <w:t xml:space="preserve"> discussion</w:t>
      </w:r>
      <w:r w:rsidRPr="0020269D">
        <w:t xml:space="preserve"> centered on whether early ethnography could claim to be objective</w:t>
      </w:r>
      <w:r>
        <w:t xml:space="preserve"> and avoided bringing personal biases into the mix</w:t>
      </w:r>
      <w:r w:rsidRPr="0020269D">
        <w:t xml:space="preserve">. A review of classic studies demonstrated that strands of personal bias infiltrated many of the assumptions made by earlier social scientists. It was argued that more was needed to ensure that contemporary ethnographers addressed and checked their own </w:t>
      </w:r>
      <w:r w:rsidRPr="0020269D">
        <w:rPr>
          <w:bCs/>
        </w:rPr>
        <w:t>personal biases</w:t>
      </w:r>
      <w:r w:rsidRPr="0020269D">
        <w:t xml:space="preserve"> </w:t>
      </w:r>
      <w:r>
        <w:t xml:space="preserve">prior to approaching their subjects under study </w:t>
      </w:r>
      <w:r w:rsidRPr="0020269D">
        <w:t>and that they must consider the ethical responsibilities they had with the people they worked with</w:t>
      </w:r>
      <w:r>
        <w:t xml:space="preserve"> (Ladner, 2014; Murchison, 2010; Van Manned, 2003)</w:t>
      </w:r>
      <w:r w:rsidRPr="0020269D">
        <w:t>.</w:t>
      </w:r>
    </w:p>
    <w:p w14:paraId="1A8F1751" w14:textId="77777777" w:rsidR="00306DAA" w:rsidRDefault="00306DAA" w:rsidP="00306DAA"/>
    <w:p w14:paraId="7E7E472D" w14:textId="77777777" w:rsidR="00306DAA" w:rsidRPr="0020269D" w:rsidRDefault="00306DAA" w:rsidP="00306DAA">
      <w:r w:rsidRPr="0020269D">
        <w:tab/>
        <w:t xml:space="preserve">There has been vigorous debate over the subject of the ethnographic approach. Anthropology and sociology are no longer the only disciplines that choose the ethnographic method </w:t>
      </w:r>
      <w:proofErr w:type="gramStart"/>
      <w:r w:rsidRPr="0020269D">
        <w:t>as a way to</w:t>
      </w:r>
      <w:proofErr w:type="gramEnd"/>
      <w:r w:rsidRPr="0020269D">
        <w:t xml:space="preserve"> collect rich and detailed first-hand knowledge of a group or culture under investigation. Rather, there is an increase in its acceptance across the globe and within studies about urban or rural communities in action</w:t>
      </w:r>
      <w:r>
        <w:t xml:space="preserve"> (Murchison, 2010)</w:t>
      </w:r>
      <w:r w:rsidRPr="0020269D">
        <w:t xml:space="preserve">. Ethnography does not only mean traveling to remote areas or small rural communities. There is an increased recognition for the utility of capturing cultural and social phenomena using the ethnographic approach. As sociologists utilize ethnography more to capture the ways of industrialized and urban communities, there is more debate on the validity of the earlier classic studies. This critique on earlier ethnography has affected some to pursue ethnography as a contemporary practice. The ethnographic projects verified that researchers could successfully use ethnography in both urban and industrialized research scenarios. This paradigm shift made ethnographic research more acceptable locally. Contemporary ethnographers found that ethnography allowed the researchers to study </w:t>
      </w:r>
      <w:proofErr w:type="gramStart"/>
      <w:r w:rsidRPr="0020269D">
        <w:t>particular groups</w:t>
      </w:r>
      <w:proofErr w:type="gramEnd"/>
      <w:r w:rsidRPr="0020269D">
        <w:t xml:space="preserve"> and subjects that were not already researched using more traditional methods such as surveys.</w:t>
      </w:r>
    </w:p>
    <w:p w14:paraId="4D7D97DC" w14:textId="77777777" w:rsidR="00306DAA" w:rsidRDefault="00306DAA" w:rsidP="00306DAA"/>
    <w:p w14:paraId="6637BF57" w14:textId="77777777" w:rsidR="00306DAA" w:rsidRPr="007002E8" w:rsidRDefault="00306DAA" w:rsidP="00306DAA">
      <w:pPr>
        <w:pStyle w:val="Heading2"/>
      </w:pPr>
      <w:r w:rsidRPr="007002E8">
        <w:t>Identifying Bias in the Research Process</w:t>
      </w:r>
    </w:p>
    <w:p w14:paraId="03B46671" w14:textId="77777777" w:rsidR="00306DAA" w:rsidRPr="007002E8" w:rsidRDefault="00306DAA" w:rsidP="00306DAA">
      <w:pPr>
        <w:rPr>
          <w:bCs/>
        </w:rPr>
      </w:pPr>
    </w:p>
    <w:p w14:paraId="3ACABDDD" w14:textId="77777777" w:rsidR="00306DAA" w:rsidRPr="007002E8" w:rsidRDefault="00306DAA" w:rsidP="00306DAA">
      <w:r w:rsidRPr="007002E8">
        <w:tab/>
        <w:t>The ethnographer’s role as a passive observer can be difficult if they choose a field site where they have little knowledge of the local language or customs. In this instance, the researcher runs the risk of making serious mistakes and will have to learn from them quickly. Ethnographic research requires that the researcher adopt a participant-observer role</w:t>
      </w:r>
      <w:r w:rsidRPr="001D73F6">
        <w:t xml:space="preserve"> and not bring in any personal bias as to the possible outcomes of the project</w:t>
      </w:r>
      <w:r w:rsidRPr="007002E8">
        <w:t xml:space="preserve">. </w:t>
      </w:r>
    </w:p>
    <w:p w14:paraId="0EE2A5B3" w14:textId="77777777" w:rsidR="00306DAA" w:rsidRPr="007002E8" w:rsidRDefault="00306DAA" w:rsidP="00306DAA"/>
    <w:p w14:paraId="27FB7269" w14:textId="77777777" w:rsidR="00306DAA" w:rsidRPr="007002E8" w:rsidRDefault="00306DAA" w:rsidP="00306DAA">
      <w:r>
        <w:tab/>
      </w:r>
      <w:r w:rsidRPr="007002E8">
        <w:t xml:space="preserve">The ethnographer may have a more difficult time planning their research because the process necessitates solid preparation and purpose while entailing the researcher act as an active participant and passive observer at the same time. Ethnographic research takes place over an extended period of weeks, months, or years and requires that the participant-observer maintain an objective, detached attitude. The parameters surrounding ethnography suggest that the researcher should not intentionally redirect or influence the environment or </w:t>
      </w:r>
      <w:r w:rsidRPr="007002E8">
        <w:lastRenderedPageBreak/>
        <w:t>participants under study. One challenge the ethnographer must face is that, while the researcher maintains a neutral unbiased stance, their direct participation in the environment draws them in on a personal level. This happens when their own lived experience mixes with the environment over time and they react to the subjects and environment involved (</w:t>
      </w:r>
      <w:proofErr w:type="spellStart"/>
      <w:r w:rsidRPr="007002E8">
        <w:t>Alasuutari</w:t>
      </w:r>
      <w:proofErr w:type="spellEnd"/>
      <w:r w:rsidRPr="007002E8">
        <w:t xml:space="preserve">, 1995; Murchison, 2010; </w:t>
      </w:r>
      <w:proofErr w:type="spellStart"/>
      <w:r w:rsidRPr="007002E8">
        <w:t>Tombro</w:t>
      </w:r>
      <w:proofErr w:type="spellEnd"/>
      <w:r w:rsidRPr="007002E8">
        <w:t>, 2016).</w:t>
      </w:r>
    </w:p>
    <w:p w14:paraId="7460EA54" w14:textId="77777777" w:rsidR="00306DAA" w:rsidRDefault="00306DAA" w:rsidP="00306DAA"/>
    <w:p w14:paraId="450A7D98" w14:textId="77777777" w:rsidR="00306DAA" w:rsidRPr="007002E8" w:rsidRDefault="00306DAA" w:rsidP="00306DAA">
      <w:r w:rsidRPr="007002E8">
        <w:tab/>
        <w:t xml:space="preserve">To achieve their research goals in capturing the personal experiences of a society or culture in action, the ethnographer must become involved on a personal level to some degree. It has been acknowledged that participant-observation involves the researcher acquire first-hand lived experience regarding the subjects under investigation which may cause the ethnographer to involuntarily abandon their objective viewpoint over time. When this happens, the ethnographer could experience social or cultural empathy that might influence the conclusions garnered about the culture or group under study. The researcher must bear in mind that they should try and not prejudge anyone or situation they observe (Bryman, 2004; Emerson et al., 1997; Murchison, 2010; </w:t>
      </w:r>
      <w:proofErr w:type="spellStart"/>
      <w:r w:rsidRPr="007002E8">
        <w:t>Tombro</w:t>
      </w:r>
      <w:proofErr w:type="spellEnd"/>
      <w:r w:rsidRPr="007002E8">
        <w:t>, 2016).</w:t>
      </w:r>
    </w:p>
    <w:p w14:paraId="3E810B68" w14:textId="77777777" w:rsidR="00306DAA" w:rsidRDefault="00306DAA" w:rsidP="00306DAA"/>
    <w:p w14:paraId="779F70CA" w14:textId="77777777" w:rsidR="00306DAA" w:rsidRDefault="00306DAA" w:rsidP="00306DAA">
      <w:r w:rsidRPr="007002E8">
        <w:tab/>
        <w:t>While all this may be necessary, there is the opposite assumption that a researcher who becomes a "participant" cannot maintain the ability to capture and acknowledge the larger picture. Instead, the ethnographer may absorb the experience of events and may not have the ability to remain objective once they have immersed themselves in the study long term. This can occur when concentrated experiences and emotions have actively ensued over a prolonged time period. The first-hand experience of the ethnographer can change the long-term perception of their environment when they continue to act as a participant-observer long term (Ladner, 2014; Murchison, 2010).</w:t>
      </w:r>
    </w:p>
    <w:p w14:paraId="3AB6F7AF" w14:textId="77777777" w:rsidR="00306DAA" w:rsidRDefault="00306DAA" w:rsidP="00306DAA"/>
    <w:p w14:paraId="1848C99F" w14:textId="77777777" w:rsidR="00306DAA" w:rsidRDefault="00306DAA" w:rsidP="00306DAA">
      <w:pPr>
        <w:pStyle w:val="Heading2"/>
      </w:pPr>
      <w:r>
        <w:t>Summary</w:t>
      </w:r>
    </w:p>
    <w:p w14:paraId="3B6B9275" w14:textId="77777777" w:rsidR="00306DAA" w:rsidRDefault="00306DAA" w:rsidP="00306DAA"/>
    <w:p w14:paraId="28DE671A" w14:textId="77777777" w:rsidR="00306DAA" w:rsidRDefault="00306DAA" w:rsidP="00306DAA">
      <w:r w:rsidRPr="00AB287C">
        <w:tab/>
      </w:r>
      <w:r w:rsidRPr="00366B4C">
        <w:t>The goal of ethnography is to improve insight into cultural and shared group behaviors and understand the cultural relationships and processes that create behavior. An experienced ethnographer will have a well thought out research plan of action prior to collecting distinctive types of information using varying techniques</w:t>
      </w:r>
      <w:r>
        <w:t xml:space="preserve">. </w:t>
      </w:r>
      <w:r w:rsidRPr="00AB287C">
        <w:t>Earl</w:t>
      </w:r>
      <w:r>
        <w:t xml:space="preserve">ier </w:t>
      </w:r>
      <w:r w:rsidRPr="00AB287C">
        <w:t xml:space="preserve">ethnographic </w:t>
      </w:r>
      <w:r>
        <w:t>research studies</w:t>
      </w:r>
      <w:r w:rsidRPr="00AB287C">
        <w:t xml:space="preserve"> made assumptions about the culture under </w:t>
      </w:r>
      <w:r>
        <w:t xml:space="preserve">investigation. Especially </w:t>
      </w:r>
      <w:r w:rsidRPr="00AB287C">
        <w:t>when traveling to isolated group</w:t>
      </w:r>
      <w:r>
        <w:t>s</w:t>
      </w:r>
      <w:r w:rsidRPr="00AB287C">
        <w:t xml:space="preserve"> or areas they considered relatively static cultures. When ethnography evolved </w:t>
      </w:r>
      <w:r>
        <w:t>over time,</w:t>
      </w:r>
      <w:r w:rsidRPr="00AB287C">
        <w:t xml:space="preserve"> </w:t>
      </w:r>
      <w:r>
        <w:t>present-day</w:t>
      </w:r>
      <w:r w:rsidRPr="00AB287C">
        <w:t xml:space="preserve"> ethnographers </w:t>
      </w:r>
      <w:r>
        <w:t>uncovered</w:t>
      </w:r>
      <w:r w:rsidRPr="00AB287C">
        <w:t xml:space="preserve"> inconsistencies across </w:t>
      </w:r>
      <w:r>
        <w:t xml:space="preserve">early </w:t>
      </w:r>
      <w:r w:rsidRPr="00AB287C">
        <w:t>studies</w:t>
      </w:r>
      <w:r>
        <w:t xml:space="preserve">, which led them </w:t>
      </w:r>
      <w:r w:rsidRPr="00AB287C">
        <w:t>to question the validity of classic ethnograph</w:t>
      </w:r>
      <w:r>
        <w:t>y</w:t>
      </w:r>
      <w:r w:rsidRPr="00AB287C">
        <w:t xml:space="preserve">. </w:t>
      </w:r>
    </w:p>
    <w:p w14:paraId="772606B1" w14:textId="77777777" w:rsidR="00306DAA" w:rsidRDefault="00306DAA" w:rsidP="00306DAA"/>
    <w:p w14:paraId="08DBA1A0" w14:textId="77777777" w:rsidR="00306DAA" w:rsidRPr="00AB287C" w:rsidRDefault="00306DAA" w:rsidP="00306DAA">
      <w:r>
        <w:tab/>
        <w:t>T</w:t>
      </w:r>
      <w:r w:rsidRPr="00AB287C">
        <w:t xml:space="preserve">he </w:t>
      </w:r>
      <w:r>
        <w:t xml:space="preserve">early </w:t>
      </w:r>
      <w:r w:rsidRPr="00AB287C">
        <w:t>ethnographer</w:t>
      </w:r>
      <w:r>
        <w:t>s</w:t>
      </w:r>
      <w:r w:rsidRPr="00AB287C">
        <w:t xml:space="preserve"> </w:t>
      </w:r>
      <w:r>
        <w:t>were considered the</w:t>
      </w:r>
      <w:r w:rsidRPr="00AB287C">
        <w:t xml:space="preserve"> authoritative expert</w:t>
      </w:r>
      <w:r>
        <w:t>s</w:t>
      </w:r>
      <w:r w:rsidRPr="00AB287C">
        <w:t xml:space="preserve"> on the </w:t>
      </w:r>
      <w:r>
        <w:t>group under study. However, that research</w:t>
      </w:r>
      <w:r w:rsidRPr="00AB287C">
        <w:t xml:space="preserve"> </w:t>
      </w:r>
      <w:r>
        <w:t>lacked in detail</w:t>
      </w:r>
      <w:r w:rsidRPr="00AB287C">
        <w:t xml:space="preserve"> how the </w:t>
      </w:r>
      <w:r>
        <w:t>data</w:t>
      </w:r>
      <w:r w:rsidRPr="00AB287C">
        <w:t xml:space="preserve"> was collected</w:t>
      </w:r>
      <w:r>
        <w:t>. What method did they use?</w:t>
      </w:r>
      <w:r w:rsidRPr="00AB287C">
        <w:t xml:space="preserve"> </w:t>
      </w:r>
      <w:r>
        <w:t>Early ethnographers</w:t>
      </w:r>
      <w:r w:rsidRPr="00AB287C">
        <w:t xml:space="preserve"> </w:t>
      </w:r>
      <w:r>
        <w:t>framed the researcher as authorities and made sure that their research study told</w:t>
      </w:r>
      <w:r w:rsidRPr="00AB287C">
        <w:t xml:space="preserve"> a good story</w:t>
      </w:r>
      <w:r>
        <w:t xml:space="preserve">. </w:t>
      </w:r>
    </w:p>
    <w:p w14:paraId="6CD42B33" w14:textId="77777777" w:rsidR="00306DAA" w:rsidRDefault="00306DAA" w:rsidP="00306DAA"/>
    <w:p w14:paraId="228A2696" w14:textId="77777777" w:rsidR="00306DAA" w:rsidRPr="00AB287C" w:rsidRDefault="00306DAA" w:rsidP="00306DAA">
      <w:r w:rsidRPr="00AB287C">
        <w:tab/>
      </w:r>
      <w:r>
        <w:t>Remember, t</w:t>
      </w:r>
      <w:r w:rsidRPr="00AB287C">
        <w:t xml:space="preserve">he ethnographer as a researcher is both </w:t>
      </w:r>
      <w:r>
        <w:t xml:space="preserve">an </w:t>
      </w:r>
      <w:r w:rsidRPr="00AB287C">
        <w:t xml:space="preserve">active participant and passive observer. </w:t>
      </w:r>
      <w:r>
        <w:t>Terms that may contradict one another. A</w:t>
      </w:r>
      <w:r w:rsidRPr="00AB287C">
        <w:t xml:space="preserve"> </w:t>
      </w:r>
      <w:r>
        <w:t>practiced</w:t>
      </w:r>
      <w:r w:rsidRPr="00AB287C">
        <w:t xml:space="preserve"> ethnographer </w:t>
      </w:r>
      <w:r>
        <w:t>needs to</w:t>
      </w:r>
      <w:r w:rsidRPr="00AB287C">
        <w:t xml:space="preserve"> manage</w:t>
      </w:r>
      <w:r>
        <w:t xml:space="preserve"> these competing inconsistencies (Murchison, 2010, Schensul &amp; LeCompte, 2017, </w:t>
      </w:r>
      <w:proofErr w:type="spellStart"/>
      <w:r>
        <w:t>Tombro</w:t>
      </w:r>
      <w:proofErr w:type="spellEnd"/>
      <w:r>
        <w:t xml:space="preserve">, </w:t>
      </w:r>
      <w:r>
        <w:lastRenderedPageBreak/>
        <w:t>2016)</w:t>
      </w:r>
      <w:r w:rsidRPr="00AB287C">
        <w:t xml:space="preserve">. Ethnography is </w:t>
      </w:r>
      <w:r>
        <w:t xml:space="preserve">a </w:t>
      </w:r>
      <w:r w:rsidRPr="00AB287C">
        <w:t xml:space="preserve">unique </w:t>
      </w:r>
      <w:r>
        <w:t xml:space="preserve">method </w:t>
      </w:r>
      <w:r w:rsidRPr="00AB287C">
        <w:t>that gives the researcher a</w:t>
      </w:r>
      <w:r>
        <w:t>n</w:t>
      </w:r>
      <w:r w:rsidRPr="00AB287C">
        <w:t xml:space="preserve"> insider's view into the culture or group in action. </w:t>
      </w:r>
      <w:r>
        <w:t>Participating</w:t>
      </w:r>
      <w:r w:rsidRPr="00AB287C">
        <w:t xml:space="preserve"> directly on</w:t>
      </w:r>
      <w:r>
        <w:t>-</w:t>
      </w:r>
      <w:r w:rsidRPr="00AB287C">
        <w:t xml:space="preserve">site </w:t>
      </w:r>
      <w:r>
        <w:t>to</w:t>
      </w:r>
      <w:r w:rsidRPr="00AB287C">
        <w:t xml:space="preserve"> tak</w:t>
      </w:r>
      <w:r>
        <w:t>e</w:t>
      </w:r>
      <w:r w:rsidRPr="00AB287C">
        <w:t xml:space="preserve"> notes, creat</w:t>
      </w:r>
      <w:r>
        <w:t>e</w:t>
      </w:r>
      <w:r w:rsidRPr="00AB287C">
        <w:t xml:space="preserve"> maps</w:t>
      </w:r>
      <w:r>
        <w:t xml:space="preserve"> and images</w:t>
      </w:r>
      <w:r w:rsidRPr="00AB287C">
        <w:t xml:space="preserve">, </w:t>
      </w:r>
      <w:r>
        <w:t xml:space="preserve">or to </w:t>
      </w:r>
      <w:r w:rsidRPr="00AB287C">
        <w:t>hav</w:t>
      </w:r>
      <w:r>
        <w:t>e</w:t>
      </w:r>
      <w:r w:rsidRPr="00AB287C">
        <w:t xml:space="preserve"> conversations with </w:t>
      </w:r>
      <w:r>
        <w:t>parti</w:t>
      </w:r>
      <w:r w:rsidRPr="00AB287C">
        <w:t>cipants, afford</w:t>
      </w:r>
      <w:r>
        <w:t>s</w:t>
      </w:r>
      <w:r w:rsidRPr="00AB287C">
        <w:t xml:space="preserve"> the ethnographer </w:t>
      </w:r>
      <w:r>
        <w:t xml:space="preserve">the ability </w:t>
      </w:r>
      <w:r w:rsidRPr="00AB287C">
        <w:t xml:space="preserve">to </w:t>
      </w:r>
      <w:r>
        <w:t xml:space="preserve">evolve over the duration of </w:t>
      </w:r>
      <w:r w:rsidRPr="00AB287C">
        <w:t xml:space="preserve">the process. The challenge over time </w:t>
      </w:r>
      <w:r>
        <w:t>becomes</w:t>
      </w:r>
      <w:r w:rsidRPr="00AB287C">
        <w:t xml:space="preserve"> trying to maintain a passive observer role</w:t>
      </w:r>
      <w:r>
        <w:t xml:space="preserve"> while</w:t>
      </w:r>
      <w:r w:rsidRPr="00AB287C">
        <w:t xml:space="preserve"> becom</w:t>
      </w:r>
      <w:r>
        <w:t xml:space="preserve">ing </w:t>
      </w:r>
      <w:r w:rsidRPr="00AB287C">
        <w:t xml:space="preserve">more </w:t>
      </w:r>
      <w:r>
        <w:t>accustomed to</w:t>
      </w:r>
      <w:r w:rsidRPr="00AB287C">
        <w:t xml:space="preserve"> the local customs, rituals, symbols, and practices (Murchison, 2010; </w:t>
      </w:r>
      <w:proofErr w:type="spellStart"/>
      <w:r w:rsidRPr="00AB287C">
        <w:t>Tombro</w:t>
      </w:r>
      <w:proofErr w:type="spellEnd"/>
      <w:r w:rsidRPr="00AB287C">
        <w:t>, 2016).</w:t>
      </w:r>
    </w:p>
    <w:p w14:paraId="28F70111" w14:textId="77777777" w:rsidR="00306DAA" w:rsidRDefault="00306DAA" w:rsidP="00306DAA"/>
    <w:p w14:paraId="26F0A1F9" w14:textId="77777777" w:rsidR="00306DAA" w:rsidRPr="00BD2A47" w:rsidRDefault="00306DAA" w:rsidP="00306DAA">
      <w:r w:rsidRPr="00BD2A47">
        <w:tab/>
        <w:t xml:space="preserve">Ethnography captures the </w:t>
      </w:r>
      <w:r>
        <w:t>essence</w:t>
      </w:r>
      <w:r w:rsidRPr="00BD2A47">
        <w:t xml:space="preserve"> of the human </w:t>
      </w:r>
      <w:r>
        <w:t>existence</w:t>
      </w:r>
      <w:r w:rsidRPr="00BD2A47">
        <w:t xml:space="preserve">. It is straightforward in </w:t>
      </w:r>
      <w:r>
        <w:t xml:space="preserve">process and gives the </w:t>
      </w:r>
      <w:r w:rsidRPr="00BD2A47">
        <w:t>ethnographer</w:t>
      </w:r>
      <w:r>
        <w:t xml:space="preserve"> unfettered access to the group under study. Ethnographers need to keep in mind that they </w:t>
      </w:r>
      <w:proofErr w:type="gramStart"/>
      <w:r>
        <w:t>have</w:t>
      </w:r>
      <w:r w:rsidRPr="00BD2A47">
        <w:t xml:space="preserve"> to</w:t>
      </w:r>
      <w:proofErr w:type="gramEnd"/>
      <w:r w:rsidRPr="00BD2A47">
        <w:t xml:space="preserve"> relinquish </w:t>
      </w:r>
      <w:r>
        <w:t xml:space="preserve">a lot of </w:t>
      </w:r>
      <w:r w:rsidRPr="00BD2A47">
        <w:t xml:space="preserve">the control over the research </w:t>
      </w:r>
      <w:r>
        <w:t xml:space="preserve">process in order to avoid bringing in personal bias and clouding the results of the study. The advantage of this process to the ethnographer is that the researcher themselves are allowed access </w:t>
      </w:r>
      <w:r w:rsidRPr="00BD2A47">
        <w:t xml:space="preserve">to study first-hand and </w:t>
      </w:r>
      <w:r>
        <w:t xml:space="preserve">to gain </w:t>
      </w:r>
      <w:r w:rsidRPr="00BD2A47">
        <w:t>a</w:t>
      </w:r>
      <w:r>
        <w:t xml:space="preserve"> first-hand</w:t>
      </w:r>
      <w:r w:rsidRPr="00BD2A47">
        <w:t xml:space="preserve"> </w:t>
      </w:r>
      <w:r>
        <w:t xml:space="preserve">understanding about the </w:t>
      </w:r>
      <w:r w:rsidRPr="00BD2A47">
        <w:t xml:space="preserve">behavior under investigation. </w:t>
      </w:r>
      <w:r>
        <w:t>E</w:t>
      </w:r>
      <w:r w:rsidRPr="00BD2A47">
        <w:t xml:space="preserve">thnography allows the researcher to </w:t>
      </w:r>
      <w:r>
        <w:t>reconcile what</w:t>
      </w:r>
      <w:r w:rsidRPr="00BD2A47">
        <w:t xml:space="preserve"> people’s actions </w:t>
      </w:r>
      <w:r>
        <w:t xml:space="preserve">demonstrate </w:t>
      </w:r>
      <w:r w:rsidRPr="00BD2A47">
        <w:t>compare</w:t>
      </w:r>
      <w:r>
        <w:t>d</w:t>
      </w:r>
      <w:r w:rsidRPr="00BD2A47">
        <w:t xml:space="preserve"> </w:t>
      </w:r>
      <w:r>
        <w:t>with</w:t>
      </w:r>
      <w:r w:rsidRPr="00BD2A47">
        <w:t xml:space="preserve"> what they say about their actions</w:t>
      </w:r>
      <w:r>
        <w:t xml:space="preserve"> (Murchison, 2010)</w:t>
      </w:r>
      <w:r w:rsidRPr="00BD2A47">
        <w:t xml:space="preserve">. </w:t>
      </w:r>
    </w:p>
    <w:p w14:paraId="78829B28" w14:textId="77777777" w:rsidR="00306DAA" w:rsidRDefault="00306DAA" w:rsidP="00306DAA">
      <w:pPr>
        <w:pStyle w:val="Heading2"/>
      </w:pPr>
    </w:p>
    <w:p w14:paraId="4587353B" w14:textId="77777777" w:rsidR="00306DAA" w:rsidRPr="003F3EBB" w:rsidRDefault="00306DAA" w:rsidP="00306DAA">
      <w:pPr>
        <w:pStyle w:val="Heading2"/>
      </w:pPr>
      <w:r>
        <w:t>Chapter Overview</w:t>
      </w:r>
    </w:p>
    <w:p w14:paraId="6F120141" w14:textId="77777777" w:rsidR="00306DAA" w:rsidRPr="003F3EBB" w:rsidRDefault="00306DAA" w:rsidP="00306DAA"/>
    <w:p w14:paraId="20C71F3D" w14:textId="77777777" w:rsidR="00306DAA" w:rsidRPr="003F3EBB" w:rsidRDefault="00306DAA" w:rsidP="00C23CDB">
      <w:pPr>
        <w:pStyle w:val="ListParagraph"/>
        <w:widowControl w:val="0"/>
        <w:numPr>
          <w:ilvl w:val="0"/>
          <w:numId w:val="13"/>
        </w:numPr>
        <w:autoSpaceDE w:val="0"/>
        <w:autoSpaceDN w:val="0"/>
        <w:contextualSpacing w:val="0"/>
      </w:pPr>
      <w:r w:rsidRPr="003F3EBB">
        <w:t>Defining ethnography</w:t>
      </w:r>
    </w:p>
    <w:p w14:paraId="12062E1F" w14:textId="77777777" w:rsidR="00306DAA" w:rsidRPr="003F3EBB" w:rsidRDefault="00306DAA" w:rsidP="00C23CDB">
      <w:pPr>
        <w:pStyle w:val="ListParagraph"/>
        <w:widowControl w:val="0"/>
        <w:numPr>
          <w:ilvl w:val="0"/>
          <w:numId w:val="13"/>
        </w:numPr>
        <w:autoSpaceDE w:val="0"/>
        <w:autoSpaceDN w:val="0"/>
        <w:contextualSpacing w:val="0"/>
      </w:pPr>
      <w:r w:rsidRPr="003F3EBB">
        <w:t>A brief history behind ethnography</w:t>
      </w:r>
    </w:p>
    <w:p w14:paraId="12240F44" w14:textId="77777777" w:rsidR="00306DAA" w:rsidRPr="003F3EBB" w:rsidRDefault="00306DAA" w:rsidP="00C23CDB">
      <w:pPr>
        <w:pStyle w:val="ListParagraph"/>
        <w:widowControl w:val="0"/>
        <w:numPr>
          <w:ilvl w:val="0"/>
          <w:numId w:val="13"/>
        </w:numPr>
        <w:autoSpaceDE w:val="0"/>
        <w:autoSpaceDN w:val="0"/>
        <w:contextualSpacing w:val="0"/>
      </w:pPr>
      <w:r w:rsidRPr="003F3EBB">
        <w:t>Trends in today's ethnography</w:t>
      </w:r>
    </w:p>
    <w:p w14:paraId="0C6A596E" w14:textId="77777777" w:rsidR="00306DAA" w:rsidRPr="003F3EBB" w:rsidRDefault="00306DAA" w:rsidP="00C23CDB">
      <w:pPr>
        <w:pStyle w:val="ListParagraph"/>
        <w:widowControl w:val="0"/>
        <w:numPr>
          <w:ilvl w:val="0"/>
          <w:numId w:val="13"/>
        </w:numPr>
        <w:autoSpaceDE w:val="0"/>
        <w:autoSpaceDN w:val="0"/>
        <w:contextualSpacing w:val="0"/>
      </w:pPr>
      <w:r w:rsidRPr="003F3EBB">
        <w:t>Exploring the ethnographic method as first-hand research</w:t>
      </w:r>
    </w:p>
    <w:p w14:paraId="66F58D80" w14:textId="77777777" w:rsidR="00306DAA" w:rsidRPr="003F3EBB" w:rsidRDefault="00306DAA" w:rsidP="00C23CDB">
      <w:pPr>
        <w:pStyle w:val="ListParagraph"/>
        <w:widowControl w:val="0"/>
        <w:numPr>
          <w:ilvl w:val="0"/>
          <w:numId w:val="13"/>
        </w:numPr>
        <w:autoSpaceDE w:val="0"/>
        <w:autoSpaceDN w:val="0"/>
        <w:contextualSpacing w:val="0"/>
      </w:pPr>
      <w:r w:rsidRPr="003F3EBB">
        <w:t>Recognizing the ethnographer as research instrument</w:t>
      </w:r>
    </w:p>
    <w:p w14:paraId="75425EB5" w14:textId="77777777" w:rsidR="00306DAA" w:rsidRPr="003F3EBB" w:rsidRDefault="00306DAA" w:rsidP="00C23CDB">
      <w:pPr>
        <w:pStyle w:val="ListParagraph"/>
        <w:widowControl w:val="0"/>
        <w:numPr>
          <w:ilvl w:val="0"/>
          <w:numId w:val="13"/>
        </w:numPr>
        <w:autoSpaceDE w:val="0"/>
        <w:autoSpaceDN w:val="0"/>
        <w:contextualSpacing w:val="0"/>
      </w:pPr>
      <w:r w:rsidRPr="003F3EBB">
        <w:t>Understanding how the ethnographer as participant-observer partners with study participants</w:t>
      </w:r>
    </w:p>
    <w:p w14:paraId="0E384596" w14:textId="77777777" w:rsidR="00306DAA" w:rsidRDefault="00306DAA" w:rsidP="00306DAA"/>
    <w:p w14:paraId="1FD23A79" w14:textId="77777777" w:rsidR="00306DAA" w:rsidRPr="001D73F6" w:rsidRDefault="00306DAA" w:rsidP="00306DAA">
      <w:pPr>
        <w:rPr>
          <w:b/>
          <w:bCs/>
        </w:rPr>
      </w:pPr>
      <w:r w:rsidRPr="001D73F6">
        <w:rPr>
          <w:b/>
          <w:bCs/>
        </w:rPr>
        <w:t>Keywords:</w:t>
      </w:r>
    </w:p>
    <w:p w14:paraId="5F1A0986" w14:textId="77777777" w:rsidR="00306DAA" w:rsidRPr="00325315" w:rsidRDefault="00306DAA" w:rsidP="00C23CDB">
      <w:pPr>
        <w:pStyle w:val="ListParagraph"/>
        <w:widowControl w:val="0"/>
        <w:numPr>
          <w:ilvl w:val="0"/>
          <w:numId w:val="15"/>
        </w:numPr>
        <w:autoSpaceDE w:val="0"/>
        <w:autoSpaceDN w:val="0"/>
        <w:spacing w:before="121"/>
        <w:contextualSpacing w:val="0"/>
      </w:pPr>
      <w:r w:rsidRPr="00325315">
        <w:t>Ethnography</w:t>
      </w:r>
    </w:p>
    <w:p w14:paraId="04EC4428" w14:textId="77777777" w:rsidR="00306DAA" w:rsidRPr="00325315" w:rsidRDefault="00306DAA" w:rsidP="00C23CDB">
      <w:pPr>
        <w:pStyle w:val="ListParagraph"/>
        <w:widowControl w:val="0"/>
        <w:numPr>
          <w:ilvl w:val="0"/>
          <w:numId w:val="15"/>
        </w:numPr>
        <w:autoSpaceDE w:val="0"/>
        <w:autoSpaceDN w:val="0"/>
        <w:spacing w:before="121"/>
        <w:contextualSpacing w:val="0"/>
      </w:pPr>
      <w:r w:rsidRPr="00325315">
        <w:t>Research strategy</w:t>
      </w:r>
      <w:r w:rsidRPr="00325315">
        <w:rPr>
          <w:rStyle w:val="e24kjd"/>
        </w:rPr>
        <w:t xml:space="preserve"> </w:t>
      </w:r>
    </w:p>
    <w:p w14:paraId="76FF6A46" w14:textId="77777777" w:rsidR="00306DAA" w:rsidRPr="00325315" w:rsidRDefault="00306DAA" w:rsidP="00C23CDB">
      <w:pPr>
        <w:pStyle w:val="NoSpacing"/>
        <w:numPr>
          <w:ilvl w:val="0"/>
          <w:numId w:val="15"/>
        </w:numPr>
        <w:rPr>
          <w:szCs w:val="24"/>
        </w:rPr>
      </w:pPr>
      <w:r w:rsidRPr="00325315">
        <w:rPr>
          <w:szCs w:val="24"/>
        </w:rPr>
        <w:t xml:space="preserve">Participant-observer </w:t>
      </w:r>
    </w:p>
    <w:p w14:paraId="3F9D0507" w14:textId="77777777" w:rsidR="00306DAA" w:rsidRPr="00325315" w:rsidRDefault="00306DAA" w:rsidP="00C23CDB">
      <w:pPr>
        <w:pStyle w:val="ListParagraph"/>
        <w:widowControl w:val="0"/>
        <w:numPr>
          <w:ilvl w:val="0"/>
          <w:numId w:val="15"/>
        </w:numPr>
        <w:autoSpaceDE w:val="0"/>
        <w:autoSpaceDN w:val="0"/>
        <w:spacing w:before="121"/>
        <w:contextualSpacing w:val="0"/>
      </w:pPr>
      <w:r w:rsidRPr="00325315">
        <w:t xml:space="preserve">Research subjects </w:t>
      </w:r>
    </w:p>
    <w:p w14:paraId="05D6B24A" w14:textId="77777777" w:rsidR="00306DAA" w:rsidRPr="00325315" w:rsidRDefault="00306DAA" w:rsidP="00C23CDB">
      <w:pPr>
        <w:pStyle w:val="ListParagraph"/>
        <w:widowControl w:val="0"/>
        <w:numPr>
          <w:ilvl w:val="0"/>
          <w:numId w:val="15"/>
        </w:numPr>
        <w:autoSpaceDE w:val="0"/>
        <w:autoSpaceDN w:val="0"/>
        <w:spacing w:before="121"/>
        <w:contextualSpacing w:val="0"/>
      </w:pPr>
      <w:r w:rsidRPr="00325315">
        <w:t xml:space="preserve">Bias </w:t>
      </w:r>
    </w:p>
    <w:p w14:paraId="18828512" w14:textId="77777777" w:rsidR="00306DAA" w:rsidRPr="00325315" w:rsidRDefault="00306DAA" w:rsidP="00C23CDB">
      <w:pPr>
        <w:pStyle w:val="ListParagraph"/>
        <w:widowControl w:val="0"/>
        <w:numPr>
          <w:ilvl w:val="0"/>
          <w:numId w:val="15"/>
        </w:numPr>
        <w:autoSpaceDE w:val="0"/>
        <w:autoSpaceDN w:val="0"/>
        <w:spacing w:before="121"/>
        <w:contextualSpacing w:val="0"/>
      </w:pPr>
      <w:r w:rsidRPr="00325315">
        <w:t xml:space="preserve">Mapping </w:t>
      </w:r>
    </w:p>
    <w:p w14:paraId="6237C241" w14:textId="77777777" w:rsidR="00306DAA" w:rsidRPr="00325315" w:rsidRDefault="00306DAA" w:rsidP="00C23CDB">
      <w:pPr>
        <w:pStyle w:val="ListParagraph"/>
        <w:widowControl w:val="0"/>
        <w:numPr>
          <w:ilvl w:val="0"/>
          <w:numId w:val="15"/>
        </w:numPr>
        <w:autoSpaceDE w:val="0"/>
        <w:autoSpaceDN w:val="0"/>
        <w:spacing w:before="121"/>
        <w:contextualSpacing w:val="0"/>
      </w:pPr>
      <w:r w:rsidRPr="00325315">
        <w:t xml:space="preserve">Objectivity </w:t>
      </w:r>
    </w:p>
    <w:p w14:paraId="102412BB" w14:textId="77777777" w:rsidR="00306DAA" w:rsidRPr="00325315" w:rsidRDefault="00306DAA" w:rsidP="00C23CDB">
      <w:pPr>
        <w:pStyle w:val="ListParagraph"/>
        <w:widowControl w:val="0"/>
        <w:numPr>
          <w:ilvl w:val="0"/>
          <w:numId w:val="15"/>
        </w:numPr>
        <w:autoSpaceDE w:val="0"/>
        <w:autoSpaceDN w:val="0"/>
        <w:spacing w:before="121"/>
        <w:contextualSpacing w:val="0"/>
      </w:pPr>
      <w:r w:rsidRPr="00325315">
        <w:t xml:space="preserve">Building rapport </w:t>
      </w:r>
    </w:p>
    <w:p w14:paraId="52EF3E9D" w14:textId="77777777" w:rsidR="00306DAA" w:rsidRPr="00325315" w:rsidRDefault="00306DAA" w:rsidP="00C23CDB">
      <w:pPr>
        <w:pStyle w:val="ListParagraph"/>
        <w:widowControl w:val="0"/>
        <w:numPr>
          <w:ilvl w:val="0"/>
          <w:numId w:val="15"/>
        </w:numPr>
        <w:autoSpaceDE w:val="0"/>
        <w:autoSpaceDN w:val="0"/>
        <w:spacing w:before="121"/>
        <w:contextualSpacing w:val="0"/>
      </w:pPr>
      <w:r w:rsidRPr="00325315">
        <w:t xml:space="preserve">Validity </w:t>
      </w:r>
    </w:p>
    <w:p w14:paraId="3F41ED18" w14:textId="77777777" w:rsidR="00306DAA" w:rsidRDefault="00306DAA" w:rsidP="00306DAA">
      <w:pPr>
        <w:spacing w:after="160" w:line="259" w:lineRule="auto"/>
        <w:rPr>
          <w:rFonts w:cs="Times New Roman"/>
          <w:b/>
        </w:rPr>
      </w:pPr>
    </w:p>
    <w:p w14:paraId="5F318650" w14:textId="77777777" w:rsidR="00306DAA" w:rsidRDefault="00306DAA" w:rsidP="00306DAA">
      <w:pPr>
        <w:pStyle w:val="Heading2"/>
      </w:pPr>
      <w:r>
        <w:t>Chapter Questions</w:t>
      </w:r>
    </w:p>
    <w:p w14:paraId="09FA87AD" w14:textId="77777777" w:rsidR="00306DAA" w:rsidRDefault="00306DAA" w:rsidP="00306DAA"/>
    <w:p w14:paraId="6B33BECD" w14:textId="77777777" w:rsidR="00306DAA" w:rsidRPr="00325315" w:rsidRDefault="00306DAA" w:rsidP="00C23CDB">
      <w:pPr>
        <w:pStyle w:val="ListParagraph"/>
        <w:numPr>
          <w:ilvl w:val="0"/>
          <w:numId w:val="14"/>
        </w:numPr>
      </w:pPr>
      <w:r w:rsidRPr="00325315">
        <w:lastRenderedPageBreak/>
        <w:t>What was the significance of a rise in the use of the ethnographic method?</w:t>
      </w:r>
    </w:p>
    <w:p w14:paraId="3B2BBF33" w14:textId="77777777" w:rsidR="00306DAA" w:rsidRPr="00325315" w:rsidRDefault="00306DAA" w:rsidP="00C23CDB">
      <w:pPr>
        <w:pStyle w:val="ListParagraph"/>
        <w:numPr>
          <w:ilvl w:val="0"/>
          <w:numId w:val="14"/>
        </w:numPr>
      </w:pPr>
      <w:r w:rsidRPr="00325315">
        <w:t>What are some of the differences between early ethnography and contemporary ethnography? What are the potential problems that stemmed from early ethnographic accounts?</w:t>
      </w:r>
    </w:p>
    <w:p w14:paraId="1852E3C4" w14:textId="77777777" w:rsidR="00306DAA" w:rsidRPr="00325315" w:rsidRDefault="00306DAA" w:rsidP="00C23CDB">
      <w:pPr>
        <w:pStyle w:val="ListParagraph"/>
        <w:numPr>
          <w:ilvl w:val="0"/>
          <w:numId w:val="14"/>
        </w:numPr>
      </w:pPr>
      <w:r w:rsidRPr="00325315">
        <w:t>What key feature is missing in the early work?</w:t>
      </w:r>
    </w:p>
    <w:p w14:paraId="3EF8A0AF" w14:textId="77777777" w:rsidR="00306DAA" w:rsidRPr="00325315" w:rsidRDefault="00306DAA" w:rsidP="00C23CDB">
      <w:pPr>
        <w:pStyle w:val="ListParagraph"/>
        <w:numPr>
          <w:ilvl w:val="0"/>
          <w:numId w:val="14"/>
        </w:numPr>
      </w:pPr>
      <w:r w:rsidRPr="00325315">
        <w:t>Why did most early ethnographers choose only one elder male to speak for the rest of the group and then make assumptions about the group based from on encounters alone?</w:t>
      </w:r>
    </w:p>
    <w:p w14:paraId="6339222E" w14:textId="77777777" w:rsidR="00306DAA" w:rsidRPr="00325315" w:rsidRDefault="00306DAA" w:rsidP="00C23CDB">
      <w:pPr>
        <w:pStyle w:val="ListParagraph"/>
        <w:numPr>
          <w:ilvl w:val="0"/>
          <w:numId w:val="14"/>
        </w:numPr>
      </w:pPr>
      <w:r w:rsidRPr="00325315">
        <w:t>In what ways was early ethnographic work problematic or inconsistent?</w:t>
      </w:r>
    </w:p>
    <w:p w14:paraId="21E118ED" w14:textId="77777777" w:rsidR="00306DAA" w:rsidRPr="00325315" w:rsidRDefault="00306DAA" w:rsidP="00C23CDB">
      <w:pPr>
        <w:pStyle w:val="ListParagraph"/>
        <w:numPr>
          <w:ilvl w:val="0"/>
          <w:numId w:val="14"/>
        </w:numPr>
      </w:pPr>
      <w:r w:rsidRPr="00325315">
        <w:t>In what was has ethnography evolved in contemporary ethnographic research methods?</w:t>
      </w:r>
    </w:p>
    <w:p w14:paraId="53860A3F" w14:textId="77777777" w:rsidR="00306DAA" w:rsidRPr="00325315" w:rsidRDefault="00306DAA" w:rsidP="00C23CDB">
      <w:pPr>
        <w:pStyle w:val="ListParagraph"/>
        <w:numPr>
          <w:ilvl w:val="0"/>
          <w:numId w:val="14"/>
        </w:numPr>
      </w:pPr>
      <w:r w:rsidRPr="00325315">
        <w:t xml:space="preserve">What main characteristics in ethnography are different from other research strategies in the social sciences? </w:t>
      </w:r>
    </w:p>
    <w:p w14:paraId="5843FE08" w14:textId="77777777" w:rsidR="00306DAA" w:rsidRPr="00325315" w:rsidRDefault="00306DAA" w:rsidP="00C23CDB">
      <w:pPr>
        <w:pStyle w:val="ListParagraph"/>
        <w:numPr>
          <w:ilvl w:val="0"/>
          <w:numId w:val="14"/>
        </w:numPr>
      </w:pPr>
      <w:r w:rsidRPr="00325315">
        <w:t>Do you believe ethnography is a good way to collect data?</w:t>
      </w:r>
    </w:p>
    <w:p w14:paraId="43756F5E" w14:textId="77777777" w:rsidR="00306DAA" w:rsidRPr="00325315" w:rsidRDefault="00306DAA" w:rsidP="00C23CDB">
      <w:pPr>
        <w:pStyle w:val="ListParagraph"/>
        <w:numPr>
          <w:ilvl w:val="0"/>
          <w:numId w:val="14"/>
        </w:numPr>
      </w:pPr>
      <w:r w:rsidRPr="00325315">
        <w:t xml:space="preserve">In your opinion, do you think social scientists would choose ethnography </w:t>
      </w:r>
      <w:proofErr w:type="gramStart"/>
      <w:r w:rsidRPr="00325315">
        <w:t>as a means to</w:t>
      </w:r>
      <w:proofErr w:type="gramEnd"/>
      <w:r w:rsidRPr="00325315">
        <w:t xml:space="preserve"> pursue a study?</w:t>
      </w:r>
    </w:p>
    <w:p w14:paraId="0B3E49A9" w14:textId="77777777" w:rsidR="00306DAA" w:rsidRPr="00325315" w:rsidRDefault="00306DAA" w:rsidP="00C23CDB">
      <w:pPr>
        <w:pStyle w:val="ListParagraph"/>
        <w:numPr>
          <w:ilvl w:val="0"/>
          <w:numId w:val="14"/>
        </w:numPr>
      </w:pPr>
      <w:r w:rsidRPr="00325315">
        <w:t xml:space="preserve">How does the ethnographer function as research instrument? </w:t>
      </w:r>
    </w:p>
    <w:p w14:paraId="6F9C8A12" w14:textId="77777777" w:rsidR="00306DAA" w:rsidRPr="00325315" w:rsidRDefault="00306DAA" w:rsidP="00C23CDB">
      <w:pPr>
        <w:pStyle w:val="ListParagraph"/>
        <w:numPr>
          <w:ilvl w:val="0"/>
          <w:numId w:val="14"/>
        </w:numPr>
      </w:pPr>
      <w:r w:rsidRPr="00325315">
        <w:t xml:space="preserve">What should an ethnographer do to nurture a better rapport between ethnographer and participant? </w:t>
      </w:r>
    </w:p>
    <w:p w14:paraId="6369BEC9" w14:textId="77777777" w:rsidR="00306DAA" w:rsidRPr="00325315" w:rsidRDefault="00306DAA" w:rsidP="00C23CDB">
      <w:pPr>
        <w:pStyle w:val="ListParagraph"/>
        <w:numPr>
          <w:ilvl w:val="0"/>
          <w:numId w:val="14"/>
        </w:numPr>
      </w:pPr>
      <w:r w:rsidRPr="00325315">
        <w:t xml:space="preserve">What are the most positive elements of ethnographic research methods? </w:t>
      </w:r>
    </w:p>
    <w:p w14:paraId="6AC914BC" w14:textId="77777777" w:rsidR="00306DAA" w:rsidRDefault="00306DAA" w:rsidP="00306DAA">
      <w:pPr>
        <w:spacing w:after="160" w:line="259" w:lineRule="auto"/>
      </w:pPr>
    </w:p>
    <w:p w14:paraId="3F2D69D5" w14:textId="77777777" w:rsidR="00306DAA" w:rsidRDefault="00306DAA" w:rsidP="00306DAA"/>
    <w:p w14:paraId="4C41DBD5" w14:textId="77777777" w:rsidR="00306DAA" w:rsidRDefault="00306DAA" w:rsidP="00306DAA">
      <w:pPr>
        <w:pStyle w:val="Heading2"/>
        <w:jc w:val="center"/>
      </w:pPr>
      <w:r>
        <w:t>References</w:t>
      </w:r>
    </w:p>
    <w:p w14:paraId="159B50D9" w14:textId="77777777" w:rsidR="00306DAA" w:rsidRDefault="00306DAA" w:rsidP="00306DAA">
      <w:pPr>
        <w:ind w:left="810" w:hanging="810"/>
      </w:pPr>
    </w:p>
    <w:p w14:paraId="02795FD7" w14:textId="77777777" w:rsidR="00306DAA" w:rsidRPr="00910BFE" w:rsidRDefault="00306DAA" w:rsidP="00306DAA">
      <w:pPr>
        <w:ind w:left="810" w:hanging="810"/>
      </w:pPr>
      <w:proofErr w:type="spellStart"/>
      <w:r w:rsidRPr="00910BFE">
        <w:t>Alasuutari</w:t>
      </w:r>
      <w:proofErr w:type="spellEnd"/>
      <w:r w:rsidRPr="00910BFE">
        <w:t xml:space="preserve">, P. (1995). </w:t>
      </w:r>
      <w:r w:rsidRPr="00910BFE">
        <w:rPr>
          <w:i/>
          <w:iCs/>
        </w:rPr>
        <w:t>Researching culture: Qualitative methods and cultural studies.</w:t>
      </w:r>
      <w:r w:rsidRPr="00910BFE">
        <w:t xml:space="preserve"> Thousand Oaks, CA: Sage.</w:t>
      </w:r>
    </w:p>
    <w:p w14:paraId="055E67C4" w14:textId="77777777" w:rsidR="00306DAA" w:rsidRPr="00910BFE" w:rsidRDefault="00306DAA" w:rsidP="00306DAA">
      <w:pPr>
        <w:ind w:left="810" w:hanging="810"/>
      </w:pPr>
    </w:p>
    <w:p w14:paraId="11BF8793" w14:textId="77777777" w:rsidR="00306DAA" w:rsidRPr="00910BFE" w:rsidRDefault="00306DAA" w:rsidP="00306DAA">
      <w:pPr>
        <w:ind w:left="810" w:hanging="810"/>
      </w:pPr>
      <w:r w:rsidRPr="00910BFE">
        <w:t xml:space="preserve">Anderson, K. (1994). </w:t>
      </w:r>
      <w:r w:rsidRPr="00910BFE">
        <w:rPr>
          <w:i/>
          <w:iCs/>
        </w:rPr>
        <w:t>Thinking about sociology.</w:t>
      </w:r>
      <w:r w:rsidRPr="00910BFE">
        <w:t xml:space="preserve"> New York: Oxford University Press.</w:t>
      </w:r>
    </w:p>
    <w:p w14:paraId="7BC0D3CD" w14:textId="77777777" w:rsidR="00306DAA" w:rsidRPr="00910BFE" w:rsidRDefault="00306DAA" w:rsidP="00306DAA">
      <w:pPr>
        <w:ind w:left="810" w:hanging="810"/>
      </w:pPr>
    </w:p>
    <w:p w14:paraId="2F8A6662" w14:textId="77777777" w:rsidR="00306DAA" w:rsidRPr="00910BFE" w:rsidRDefault="00306DAA" w:rsidP="00306DAA">
      <w:pPr>
        <w:ind w:left="810" w:hanging="810"/>
      </w:pPr>
      <w:r w:rsidRPr="00910BFE">
        <w:t xml:space="preserve">Averill, J. B. (2006). Getting started: Initiating critical ethnography and community-based action research in a program of rural health studies. </w:t>
      </w:r>
      <w:r w:rsidRPr="00910BFE">
        <w:rPr>
          <w:i/>
          <w:iCs/>
        </w:rPr>
        <w:t>International Journal of Qualitative Methods, 5</w:t>
      </w:r>
      <w:r w:rsidRPr="00910BFE">
        <w:t>(2), 17-27.</w:t>
      </w:r>
    </w:p>
    <w:p w14:paraId="6B86860E" w14:textId="77777777" w:rsidR="00306DAA" w:rsidRPr="00910BFE" w:rsidRDefault="00306DAA" w:rsidP="00306DAA">
      <w:pPr>
        <w:ind w:left="810" w:hanging="810"/>
      </w:pPr>
    </w:p>
    <w:p w14:paraId="22D1B9BA" w14:textId="77777777" w:rsidR="00306DAA" w:rsidRPr="00D73B63" w:rsidRDefault="00306DAA" w:rsidP="00306DAA">
      <w:pPr>
        <w:ind w:left="810" w:hanging="810"/>
      </w:pPr>
      <w:r w:rsidRPr="00D73B63">
        <w:t xml:space="preserve">Benedict, Ruth. 1946. </w:t>
      </w:r>
      <w:r w:rsidRPr="00D73B63">
        <w:rPr>
          <w:i/>
        </w:rPr>
        <w:t xml:space="preserve">The chrysanthemum and the sword: Patterns of Japanese culture. </w:t>
      </w:r>
      <w:r w:rsidRPr="00D73B63">
        <w:t>Boston: Houghton</w:t>
      </w:r>
      <w:r>
        <w:t xml:space="preserve"> </w:t>
      </w:r>
      <w:r w:rsidRPr="00D73B63">
        <w:t>Mifflin.</w:t>
      </w:r>
    </w:p>
    <w:p w14:paraId="62CEEB1C" w14:textId="77777777" w:rsidR="00306DAA" w:rsidRDefault="00306DAA" w:rsidP="00306DAA">
      <w:pPr>
        <w:ind w:left="810" w:hanging="810"/>
      </w:pPr>
    </w:p>
    <w:p w14:paraId="371E8982" w14:textId="77777777" w:rsidR="00306DAA" w:rsidRPr="00D73B63" w:rsidRDefault="00306DAA" w:rsidP="00306DAA">
      <w:pPr>
        <w:ind w:left="810" w:hanging="810"/>
      </w:pPr>
      <w:r w:rsidRPr="00D73B63">
        <w:t xml:space="preserve">Boas, Franz. 1920. The methods of ethnology. </w:t>
      </w:r>
      <w:r w:rsidRPr="00D73B63">
        <w:rPr>
          <w:i/>
        </w:rPr>
        <w:t>American Anthropologist 22</w:t>
      </w:r>
      <w:r w:rsidRPr="00D73B63">
        <w:t>(4):311–21.</w:t>
      </w:r>
    </w:p>
    <w:p w14:paraId="298E0F21" w14:textId="77777777" w:rsidR="00306DAA" w:rsidRDefault="00306DAA" w:rsidP="00306DAA">
      <w:pPr>
        <w:ind w:left="810" w:hanging="810"/>
      </w:pPr>
    </w:p>
    <w:p w14:paraId="49E722BB" w14:textId="77777777" w:rsidR="00306DAA" w:rsidRPr="00D73B63" w:rsidRDefault="00306DAA" w:rsidP="00306DAA">
      <w:pPr>
        <w:ind w:left="810" w:hanging="810"/>
      </w:pPr>
      <w:proofErr w:type="spellStart"/>
      <w:r w:rsidRPr="00D73B63">
        <w:t>Bohanan</w:t>
      </w:r>
      <w:proofErr w:type="spellEnd"/>
      <w:r w:rsidRPr="00D73B63">
        <w:t xml:space="preserve">, Laura. 1966. Shakespeare in the bush. </w:t>
      </w:r>
      <w:r w:rsidRPr="00D73B63">
        <w:rPr>
          <w:i/>
        </w:rPr>
        <w:t xml:space="preserve">Natural History. </w:t>
      </w:r>
      <w:r w:rsidRPr="00D73B63">
        <w:t xml:space="preserve">Available at </w:t>
      </w:r>
      <w:hyperlink r:id="rId24">
        <w:r w:rsidRPr="00D73B63">
          <w:rPr>
            <w:rStyle w:val="Hyperlink"/>
          </w:rPr>
          <w:t>http://law.ubalt.edu/downloads/</w:t>
        </w:r>
      </w:hyperlink>
      <w:r w:rsidRPr="00D73B63">
        <w:t xml:space="preserve"> </w:t>
      </w:r>
      <w:proofErr w:type="spellStart"/>
      <w:r w:rsidRPr="00D73B63">
        <w:t>law_downloads</w:t>
      </w:r>
      <w:proofErr w:type="spellEnd"/>
      <w:r w:rsidRPr="00D73B63">
        <w:t>/IRC_Shakespeare_in_the_Bush1.pdf.</w:t>
      </w:r>
    </w:p>
    <w:p w14:paraId="432C2D2F" w14:textId="77777777" w:rsidR="00306DAA" w:rsidRDefault="00306DAA" w:rsidP="00306DAA">
      <w:pPr>
        <w:ind w:left="810" w:hanging="810"/>
      </w:pPr>
    </w:p>
    <w:p w14:paraId="10CE4855" w14:textId="77777777" w:rsidR="00306DAA" w:rsidRDefault="00306DAA" w:rsidP="00306DAA">
      <w:pPr>
        <w:ind w:left="810" w:hanging="810"/>
      </w:pPr>
      <w:proofErr w:type="spellStart"/>
      <w:r w:rsidRPr="00D73B63">
        <w:t>Bradburd</w:t>
      </w:r>
      <w:proofErr w:type="spellEnd"/>
      <w:r w:rsidRPr="00D73B63">
        <w:t xml:space="preserve">, Daniel. 1998. </w:t>
      </w:r>
      <w:r w:rsidRPr="00D73B63">
        <w:rPr>
          <w:i/>
        </w:rPr>
        <w:t xml:space="preserve">Being there: The necessity of fieldwork. </w:t>
      </w:r>
      <w:r w:rsidRPr="00D73B63">
        <w:t xml:space="preserve">Washington, DC: Smithsonian Institution Press. </w:t>
      </w:r>
    </w:p>
    <w:p w14:paraId="54B999B4" w14:textId="77777777" w:rsidR="00306DAA" w:rsidRDefault="00306DAA" w:rsidP="00306DAA">
      <w:pPr>
        <w:ind w:left="810" w:hanging="810"/>
      </w:pPr>
    </w:p>
    <w:p w14:paraId="6F4A6A66" w14:textId="77777777" w:rsidR="00306DAA" w:rsidRPr="00910BFE" w:rsidRDefault="00306DAA" w:rsidP="00306DAA">
      <w:pPr>
        <w:ind w:left="810" w:hanging="810"/>
      </w:pPr>
      <w:r w:rsidRPr="00910BFE">
        <w:lastRenderedPageBreak/>
        <w:t xml:space="preserve">Bryman, A. (2004). </w:t>
      </w:r>
      <w:r w:rsidRPr="00910BFE">
        <w:rPr>
          <w:i/>
          <w:iCs/>
        </w:rPr>
        <w:t xml:space="preserve">Social research methods </w:t>
      </w:r>
      <w:r w:rsidRPr="00910BFE">
        <w:t>(2</w:t>
      </w:r>
      <w:r w:rsidRPr="00910BFE">
        <w:rPr>
          <w:vertAlign w:val="superscript"/>
        </w:rPr>
        <w:t>nd</w:t>
      </w:r>
      <w:r w:rsidRPr="00910BFE">
        <w:t xml:space="preserve"> edition). Oxford: Oxford University Press.</w:t>
      </w:r>
    </w:p>
    <w:p w14:paraId="14E0CD5C" w14:textId="77777777" w:rsidR="00306DAA" w:rsidRDefault="00306DAA" w:rsidP="00306DAA">
      <w:pPr>
        <w:ind w:left="810" w:hanging="810"/>
      </w:pPr>
    </w:p>
    <w:p w14:paraId="0F32F11B" w14:textId="77777777" w:rsidR="00306DAA" w:rsidRPr="00D73B63" w:rsidRDefault="00306DAA" w:rsidP="00306DAA">
      <w:pPr>
        <w:ind w:left="810" w:hanging="810"/>
      </w:pPr>
      <w:r w:rsidRPr="00D73B63">
        <w:t xml:space="preserve">Clifford, James. 1983. On ethnographic authority. </w:t>
      </w:r>
      <w:r w:rsidRPr="00D73B63">
        <w:rPr>
          <w:i/>
        </w:rPr>
        <w:t>Representations 1</w:t>
      </w:r>
      <w:r w:rsidRPr="00D73B63">
        <w:t>(2):118–46.</w:t>
      </w:r>
    </w:p>
    <w:p w14:paraId="30585281" w14:textId="77777777" w:rsidR="00306DAA" w:rsidRDefault="00306DAA" w:rsidP="00306DAA">
      <w:pPr>
        <w:ind w:left="810" w:hanging="810"/>
      </w:pPr>
    </w:p>
    <w:p w14:paraId="4761F375" w14:textId="77777777" w:rsidR="00306DAA" w:rsidRPr="00996123" w:rsidRDefault="00306DAA" w:rsidP="00306DAA">
      <w:pPr>
        <w:ind w:left="810" w:hanging="810"/>
      </w:pPr>
      <w:bookmarkStart w:id="0" w:name="_Hlk12451637"/>
      <w:r>
        <w:t xml:space="preserve">Creswell, J. W. (1994). </w:t>
      </w:r>
      <w:r>
        <w:rPr>
          <w:i/>
          <w:iCs/>
        </w:rPr>
        <w:t>Research design: Qualitative and quantitative approaches.</w:t>
      </w:r>
      <w:r>
        <w:t xml:space="preserve"> Thousand Oaks, CA: Sage.</w:t>
      </w:r>
    </w:p>
    <w:bookmarkEnd w:id="0"/>
    <w:p w14:paraId="13C5AC1E" w14:textId="77777777" w:rsidR="00306DAA" w:rsidRDefault="00306DAA" w:rsidP="00306DAA">
      <w:pPr>
        <w:ind w:left="810" w:hanging="810"/>
      </w:pPr>
    </w:p>
    <w:p w14:paraId="2168C1DC" w14:textId="77777777" w:rsidR="00306DAA" w:rsidRPr="00D73B63" w:rsidRDefault="00306DAA" w:rsidP="00306DAA">
      <w:pPr>
        <w:ind w:left="810" w:hanging="810"/>
      </w:pPr>
      <w:r w:rsidRPr="00D73B63">
        <w:t xml:space="preserve">Duneier, Mitchell. 1999. </w:t>
      </w:r>
      <w:r w:rsidRPr="00D73B63">
        <w:rPr>
          <w:i/>
        </w:rPr>
        <w:t xml:space="preserve">Sidewalk. </w:t>
      </w:r>
      <w:r w:rsidRPr="00D73B63">
        <w:t>New York: Farrar, Straus and Giroux.</w:t>
      </w:r>
    </w:p>
    <w:p w14:paraId="4AE1C8EC" w14:textId="77777777" w:rsidR="00306DAA" w:rsidRDefault="00306DAA" w:rsidP="00306DAA">
      <w:pPr>
        <w:ind w:left="810" w:hanging="810"/>
      </w:pPr>
    </w:p>
    <w:p w14:paraId="52E5E1D2" w14:textId="77777777" w:rsidR="00306DAA" w:rsidRPr="00D73B63" w:rsidRDefault="00306DAA" w:rsidP="00306DAA">
      <w:pPr>
        <w:ind w:left="810" w:hanging="810"/>
      </w:pPr>
      <w:r w:rsidRPr="00D73B63">
        <w:t>Emerson, R</w:t>
      </w:r>
      <w:r>
        <w:t xml:space="preserve">. </w:t>
      </w:r>
      <w:r w:rsidRPr="00D73B63">
        <w:t xml:space="preserve">M., </w:t>
      </w:r>
      <w:proofErr w:type="spellStart"/>
      <w:r w:rsidRPr="00D73B63">
        <w:t>Fretz</w:t>
      </w:r>
      <w:proofErr w:type="spellEnd"/>
      <w:r>
        <w:t>, R. I.</w:t>
      </w:r>
      <w:r w:rsidRPr="00D73B63">
        <w:t xml:space="preserve">, </w:t>
      </w:r>
      <w:r>
        <w:t>&amp;</w:t>
      </w:r>
      <w:r w:rsidRPr="00D73B63">
        <w:t xml:space="preserve"> Shaw</w:t>
      </w:r>
      <w:r>
        <w:t>, L. L</w:t>
      </w:r>
      <w:r w:rsidRPr="00D73B63">
        <w:t>.</w:t>
      </w:r>
      <w:r>
        <w:t xml:space="preserve"> (</w:t>
      </w:r>
      <w:r w:rsidRPr="00D73B63">
        <w:t>1995</w:t>
      </w:r>
      <w:r>
        <w:t>)</w:t>
      </w:r>
      <w:r w:rsidRPr="00D73B63">
        <w:t xml:space="preserve">. </w:t>
      </w:r>
      <w:r w:rsidRPr="00D73B63">
        <w:rPr>
          <w:i/>
        </w:rPr>
        <w:t xml:space="preserve">Writing ethnographic fieldnotes. </w:t>
      </w:r>
      <w:r w:rsidRPr="00D73B63">
        <w:t>Chicago: University of Chicago Press.</w:t>
      </w:r>
    </w:p>
    <w:p w14:paraId="58151831" w14:textId="77777777" w:rsidR="00306DAA" w:rsidRDefault="00306DAA" w:rsidP="00306DAA">
      <w:pPr>
        <w:ind w:left="810" w:hanging="810"/>
      </w:pPr>
    </w:p>
    <w:p w14:paraId="3C4E0703" w14:textId="77777777" w:rsidR="00306DAA" w:rsidRPr="00D73B63" w:rsidRDefault="00306DAA" w:rsidP="00306DAA">
      <w:pPr>
        <w:ind w:left="810" w:hanging="810"/>
      </w:pPr>
      <w:r w:rsidRPr="00D73B63">
        <w:t xml:space="preserve">Evans-Pritchard, E. E. 1940. </w:t>
      </w:r>
      <w:r w:rsidRPr="00D73B63">
        <w:rPr>
          <w:i/>
        </w:rPr>
        <w:t xml:space="preserve">The Nuer: A description of the modes of livelihood and political institutions of a Nilotic people. </w:t>
      </w:r>
      <w:r w:rsidRPr="00D73B63">
        <w:t>Oxford: Clarendon Press.</w:t>
      </w:r>
    </w:p>
    <w:p w14:paraId="186FD78F" w14:textId="77777777" w:rsidR="00306DAA" w:rsidRDefault="00306DAA" w:rsidP="00306DAA">
      <w:pPr>
        <w:ind w:left="810" w:hanging="810"/>
      </w:pPr>
    </w:p>
    <w:p w14:paraId="15AD37C8" w14:textId="77777777" w:rsidR="00306DAA" w:rsidRPr="00D73B63" w:rsidRDefault="00306DAA" w:rsidP="00306DAA">
      <w:pPr>
        <w:ind w:left="810" w:hanging="810"/>
      </w:pPr>
      <w:r w:rsidRPr="00D73B63">
        <w:t xml:space="preserve">Freeman, Derek. 1983. </w:t>
      </w:r>
      <w:r w:rsidRPr="00D73B63">
        <w:rPr>
          <w:i/>
        </w:rPr>
        <w:t>Margaret Mead and Samoa: The making and unmaking of an anthropological myth.</w:t>
      </w:r>
      <w:r>
        <w:rPr>
          <w:i/>
        </w:rPr>
        <w:t xml:space="preserve"> </w:t>
      </w:r>
      <w:r w:rsidRPr="00D73B63">
        <w:t>Cambridge, MA: Harvard University Press.</w:t>
      </w:r>
    </w:p>
    <w:p w14:paraId="3141BB4A" w14:textId="77777777" w:rsidR="00306DAA" w:rsidRDefault="00306DAA" w:rsidP="00306DAA">
      <w:pPr>
        <w:ind w:left="810" w:hanging="810"/>
      </w:pPr>
    </w:p>
    <w:p w14:paraId="41BAD23C" w14:textId="77777777" w:rsidR="00306DAA" w:rsidRDefault="00306DAA" w:rsidP="00306DAA">
      <w:pPr>
        <w:ind w:left="810" w:hanging="810"/>
      </w:pPr>
      <w:r>
        <w:t xml:space="preserve">Ladner, S. (2014). </w:t>
      </w:r>
      <w:r w:rsidRPr="00910BFE">
        <w:rPr>
          <w:i/>
          <w:iCs/>
        </w:rPr>
        <w:t>Practical ethnography: A guide to doing ethnography in the private sector</w:t>
      </w:r>
      <w:r>
        <w:t>. Walnut Creek, CA: Left Coast Press.</w:t>
      </w:r>
    </w:p>
    <w:p w14:paraId="37202529" w14:textId="77777777" w:rsidR="00306DAA" w:rsidRDefault="00306DAA" w:rsidP="00306DAA">
      <w:pPr>
        <w:ind w:left="810" w:hanging="810"/>
      </w:pPr>
    </w:p>
    <w:p w14:paraId="673E55CE" w14:textId="77777777" w:rsidR="00306DAA" w:rsidRPr="001D73F6" w:rsidRDefault="00306DAA" w:rsidP="00306DAA">
      <w:pPr>
        <w:ind w:left="810" w:hanging="810"/>
      </w:pPr>
      <w:proofErr w:type="spellStart"/>
      <w:r>
        <w:t>Mannik</w:t>
      </w:r>
      <w:proofErr w:type="spellEnd"/>
      <w:r>
        <w:t xml:space="preserve">, L.&amp; </w:t>
      </w:r>
      <w:proofErr w:type="spellStart"/>
      <w:r>
        <w:t>McGarray</w:t>
      </w:r>
      <w:proofErr w:type="spellEnd"/>
      <w:r>
        <w:t xml:space="preserve">, K. (2017). </w:t>
      </w:r>
      <w:r>
        <w:rPr>
          <w:i/>
          <w:iCs/>
        </w:rPr>
        <w:t xml:space="preserve">Practicing ethnography: A student guide to method and methodology, </w:t>
      </w:r>
      <w:r>
        <w:t>Toronto: University of Toronto Press.</w:t>
      </w:r>
    </w:p>
    <w:p w14:paraId="5D6EBDB7" w14:textId="77777777" w:rsidR="00306DAA" w:rsidRPr="001D73F6" w:rsidRDefault="00306DAA" w:rsidP="00306DAA">
      <w:pPr>
        <w:ind w:left="810" w:hanging="810"/>
        <w:rPr>
          <w:i/>
          <w:iCs/>
        </w:rPr>
      </w:pPr>
    </w:p>
    <w:p w14:paraId="7C70F54F" w14:textId="77777777" w:rsidR="00306DAA" w:rsidRPr="00A45A34" w:rsidRDefault="00306DAA" w:rsidP="00306DAA">
      <w:pPr>
        <w:ind w:left="810" w:hanging="810"/>
      </w:pPr>
      <w:r w:rsidRPr="00A45A34">
        <w:t xml:space="preserve">Murchison, J. M. (2010). </w:t>
      </w:r>
      <w:r w:rsidRPr="00910BFE">
        <w:rPr>
          <w:i/>
          <w:iCs/>
        </w:rPr>
        <w:t>Ethnography essentials: Designing, conducting, and presenting your research.</w:t>
      </w:r>
      <w:r w:rsidRPr="00A45A34">
        <w:t xml:space="preserve"> San Francisco: CA, Jossey-Bass.</w:t>
      </w:r>
    </w:p>
    <w:p w14:paraId="147FE41E" w14:textId="77777777" w:rsidR="00306DAA" w:rsidRDefault="00306DAA" w:rsidP="00306DAA">
      <w:pPr>
        <w:ind w:left="810" w:hanging="810"/>
        <w:rPr>
          <w:lang w:val="en"/>
        </w:rPr>
      </w:pPr>
    </w:p>
    <w:p w14:paraId="095F15AA" w14:textId="77777777" w:rsidR="00306DAA" w:rsidRDefault="00306DAA" w:rsidP="00306DAA">
      <w:pPr>
        <w:ind w:left="720" w:hanging="720"/>
        <w:rPr>
          <w:shd w:val="clear" w:color="auto" w:fill="FFFFFF"/>
        </w:rPr>
      </w:pPr>
      <w:r>
        <w:rPr>
          <w:shd w:val="clear" w:color="auto" w:fill="FFFFFF"/>
        </w:rPr>
        <w:t xml:space="preserve">Schensul, J. J., LeCompte, M. D. (2012). ProQuest </w:t>
      </w:r>
      <w:proofErr w:type="spellStart"/>
      <w:r>
        <w:rPr>
          <w:shd w:val="clear" w:color="auto" w:fill="FFFFFF"/>
        </w:rPr>
        <w:t>Ebook</w:t>
      </w:r>
      <w:proofErr w:type="spellEnd"/>
      <w:r>
        <w:rPr>
          <w:shd w:val="clear" w:color="auto" w:fill="FFFFFF"/>
        </w:rPr>
        <w:t xml:space="preserve"> Central, Alta Mira Press, http://ebookcentral.proquest.com/lib/mcphs/detail.action?docID=1127710</w:t>
      </w:r>
    </w:p>
    <w:p w14:paraId="1FCEC82B" w14:textId="77777777" w:rsidR="00306DAA" w:rsidRDefault="00306DAA" w:rsidP="00306DAA">
      <w:pPr>
        <w:ind w:left="810" w:hanging="810"/>
        <w:rPr>
          <w:lang w:val="en"/>
        </w:rPr>
      </w:pPr>
    </w:p>
    <w:p w14:paraId="5AE1CFF1" w14:textId="77777777" w:rsidR="00306DAA" w:rsidRDefault="00306DAA" w:rsidP="00306DAA">
      <w:pPr>
        <w:ind w:left="810" w:hanging="810"/>
        <w:rPr>
          <w:lang w:val="en"/>
        </w:rPr>
      </w:pPr>
      <w:r w:rsidRPr="00A45A34">
        <w:rPr>
          <w:lang w:val="en"/>
        </w:rPr>
        <w:t xml:space="preserve">The Autoethnography Project by </w:t>
      </w:r>
      <w:hyperlink r:id="rId25">
        <w:r w:rsidRPr="00A45A34">
          <w:rPr>
            <w:rStyle w:val="Hyperlink"/>
            <w:lang w:val="en"/>
          </w:rPr>
          <w:t xml:space="preserve">Melissa </w:t>
        </w:r>
        <w:proofErr w:type="spellStart"/>
        <w:r w:rsidRPr="00A45A34">
          <w:rPr>
            <w:rStyle w:val="Hyperlink"/>
            <w:lang w:val="en"/>
          </w:rPr>
          <w:t>Tombro</w:t>
        </w:r>
        <w:proofErr w:type="spellEnd"/>
      </w:hyperlink>
      <w:r w:rsidRPr="00A45A34">
        <w:rPr>
          <w:lang w:val="en"/>
        </w:rPr>
        <w:t xml:space="preserve"> is licensed under a </w:t>
      </w:r>
      <w:hyperlink r:id="rId26">
        <w:r w:rsidRPr="00A45A34">
          <w:rPr>
            <w:rStyle w:val="Hyperlink"/>
            <w:lang w:val="en"/>
          </w:rPr>
          <w:t>Creative Commons Attribution-</w:t>
        </w:r>
        <w:proofErr w:type="spellStart"/>
        <w:r w:rsidRPr="00A45A34">
          <w:rPr>
            <w:rStyle w:val="Hyperlink"/>
            <w:lang w:val="en"/>
          </w:rPr>
          <w:t>NonCommercial</w:t>
        </w:r>
        <w:proofErr w:type="spellEnd"/>
        <w:r w:rsidRPr="00A45A34">
          <w:rPr>
            <w:rStyle w:val="Hyperlink"/>
            <w:lang w:val="en"/>
          </w:rPr>
          <w:t>-</w:t>
        </w:r>
        <w:proofErr w:type="spellStart"/>
        <w:r w:rsidRPr="00A45A34">
          <w:rPr>
            <w:rStyle w:val="Hyperlink"/>
            <w:lang w:val="en"/>
          </w:rPr>
          <w:t>ShareAlike</w:t>
        </w:r>
        <w:proofErr w:type="spellEnd"/>
        <w:r w:rsidRPr="00A45A34">
          <w:rPr>
            <w:rStyle w:val="Hyperlink"/>
            <w:lang w:val="en"/>
          </w:rPr>
          <w:t xml:space="preserve"> 4.0 International License</w:t>
        </w:r>
      </w:hyperlink>
      <w:r w:rsidRPr="00A45A34">
        <w:rPr>
          <w:lang w:val="en"/>
        </w:rPr>
        <w:t>, except where otherwise noted.</w:t>
      </w:r>
    </w:p>
    <w:p w14:paraId="23F344D7" w14:textId="77777777" w:rsidR="00306DAA" w:rsidRDefault="00306DAA" w:rsidP="00306DAA">
      <w:pPr>
        <w:ind w:left="810" w:hanging="810"/>
        <w:rPr>
          <w:lang w:val="en"/>
        </w:rPr>
      </w:pPr>
    </w:p>
    <w:p w14:paraId="46A4C259" w14:textId="77777777" w:rsidR="00306DAA" w:rsidRPr="00910BFE" w:rsidRDefault="00306DAA" w:rsidP="00306DAA">
      <w:pPr>
        <w:ind w:left="810" w:hanging="810"/>
        <w:rPr>
          <w:lang w:val="en"/>
        </w:rPr>
      </w:pPr>
      <w:r>
        <w:rPr>
          <w:lang w:val="en"/>
        </w:rPr>
        <w:t xml:space="preserve">Van </w:t>
      </w:r>
      <w:proofErr w:type="spellStart"/>
      <w:r>
        <w:rPr>
          <w:lang w:val="en"/>
        </w:rPr>
        <w:t>Maanen</w:t>
      </w:r>
      <w:proofErr w:type="spellEnd"/>
      <w:r>
        <w:rPr>
          <w:lang w:val="en"/>
        </w:rPr>
        <w:t xml:space="preserve">, J. (2003). </w:t>
      </w:r>
      <w:r>
        <w:rPr>
          <w:i/>
          <w:iCs/>
          <w:lang w:val="en"/>
        </w:rPr>
        <w:t xml:space="preserve">Tales from the field: On writing ethnography </w:t>
      </w:r>
      <w:r>
        <w:rPr>
          <w:lang w:val="en"/>
        </w:rPr>
        <w:t>(2</w:t>
      </w:r>
      <w:r w:rsidRPr="00D2131D">
        <w:rPr>
          <w:vertAlign w:val="superscript"/>
          <w:lang w:val="en"/>
        </w:rPr>
        <w:t>nd</w:t>
      </w:r>
      <w:r>
        <w:rPr>
          <w:lang w:val="en"/>
        </w:rPr>
        <w:t xml:space="preserve"> edition). Chicago: University of Chicago Press.</w:t>
      </w:r>
    </w:p>
    <w:p w14:paraId="49FB47C2" w14:textId="77777777" w:rsidR="00306DAA" w:rsidRPr="00B7293D" w:rsidRDefault="00306DAA" w:rsidP="00306DAA">
      <w:pPr>
        <w:pStyle w:val="Heading1"/>
        <w:spacing w:before="0"/>
        <w:jc w:val="center"/>
        <w:rPr>
          <w:color w:val="auto"/>
        </w:rPr>
      </w:pPr>
      <w:r>
        <w:br w:type="page"/>
      </w:r>
      <w:r>
        <w:rPr>
          <w:color w:val="auto"/>
        </w:rPr>
        <w:lastRenderedPageBreak/>
        <w:t>Thinking Like an Ethnographer</w:t>
      </w:r>
    </w:p>
    <w:p w14:paraId="47FCB7EA" w14:textId="77777777" w:rsidR="00306DAA" w:rsidRDefault="00306DAA" w:rsidP="00306DAA">
      <w:pPr>
        <w:jc w:val="center"/>
        <w:rPr>
          <w:rFonts w:ascii="Times New Roman" w:eastAsia="Times New Roman" w:hAnsi="Times New Roman" w:cs="Times New Roman"/>
        </w:rPr>
      </w:pPr>
      <w:r>
        <w:rPr>
          <w:rFonts w:ascii="Times New Roman" w:eastAsia="Times New Roman" w:hAnsi="Times New Roman" w:cs="Times New Roman"/>
        </w:rPr>
        <w:t>Kristina Baines</w:t>
      </w:r>
    </w:p>
    <w:p w14:paraId="45286F10" w14:textId="77777777" w:rsidR="00306DAA" w:rsidRDefault="00306DAA" w:rsidP="00306DAA">
      <w:pPr>
        <w:rPr>
          <w:rFonts w:ascii="Times New Roman" w:eastAsia="Times New Roman" w:hAnsi="Times New Roman" w:cs="Times New Roman"/>
        </w:rPr>
      </w:pPr>
    </w:p>
    <w:p w14:paraId="3B399799" w14:textId="77777777" w:rsidR="00306DAA" w:rsidRPr="00B7293D" w:rsidRDefault="00306DAA" w:rsidP="00306DAA">
      <w:pPr>
        <w:pStyle w:val="Heading2"/>
        <w:spacing w:before="0"/>
        <w:rPr>
          <w:color w:val="auto"/>
        </w:rPr>
      </w:pPr>
      <w:r w:rsidRPr="00B7293D">
        <w:rPr>
          <w:color w:val="auto"/>
        </w:rPr>
        <w:t>Background and History</w:t>
      </w:r>
    </w:p>
    <w:p w14:paraId="2B7999CE" w14:textId="77777777" w:rsidR="00306DAA" w:rsidRDefault="00306DAA" w:rsidP="00306DAA">
      <w:pPr>
        <w:ind w:firstLine="720"/>
        <w:rPr>
          <w:rFonts w:ascii="Times New Roman" w:eastAsia="Times New Roman" w:hAnsi="Times New Roman" w:cs="Times New Roman"/>
        </w:rPr>
      </w:pPr>
      <w:r>
        <w:rPr>
          <w:rFonts w:ascii="Times New Roman" w:eastAsia="Times New Roman" w:hAnsi="Times New Roman" w:cs="Times New Roman"/>
        </w:rPr>
        <w:t xml:space="preserve">Learning to conduct ethnographic research means more than simply learning about the different ethnographic methods and putting them into action. To gather data ethnographically, we say we need to use ourselves--our bodies and our minds--as the tool of data collection. Ethnographers use their five senses to observe human behavior and write about what they observe, however, they need to develop those senses to help them collect accurate data. Part of this process is developing what is called the “ethnographic mindset.” As mentioned in the previous chapter, anthropologists have been instrumental in history in developing what we think of when we talk about an ethnographic mindset. </w:t>
      </w:r>
    </w:p>
    <w:p w14:paraId="730E49C7" w14:textId="77777777" w:rsidR="00306DAA" w:rsidRDefault="00306DAA" w:rsidP="00306DAA">
      <w:pPr>
        <w:ind w:firstLine="720"/>
        <w:rPr>
          <w:rFonts w:ascii="Times New Roman" w:eastAsia="Times New Roman" w:hAnsi="Times New Roman" w:cs="Times New Roman"/>
        </w:rPr>
      </w:pPr>
      <w:r>
        <w:rPr>
          <w:rFonts w:ascii="Times New Roman" w:eastAsia="Times New Roman" w:hAnsi="Times New Roman" w:cs="Times New Roman"/>
        </w:rPr>
        <w:t xml:space="preserve">Franz Boas is an important historic figure in our consideration of how an ethnographer should think. Boas is credited with developing the concept of cultural relativity, which forms the core of the ethnographic mindset. Cultural relativity, or cultural relativism, is the understanding that certain cultures and societies are not superior to others, but rather they are just different. Before his research studies, it was common for scholars to assume that Western societies were superior to non-Western societies, for example, small, indigenous communities living in remote locations. Making observations without assuming that one culture, society or group is better or worse than another is the key to </w:t>
      </w:r>
      <w:proofErr w:type="gramStart"/>
      <w:r>
        <w:rPr>
          <w:rFonts w:ascii="Times New Roman" w:eastAsia="Times New Roman" w:hAnsi="Times New Roman" w:cs="Times New Roman"/>
        </w:rPr>
        <w:t>being</w:t>
      </w:r>
      <w:proofErr w:type="gramEnd"/>
      <w:r>
        <w:rPr>
          <w:rFonts w:ascii="Times New Roman" w:eastAsia="Times New Roman" w:hAnsi="Times New Roman" w:cs="Times New Roman"/>
        </w:rPr>
        <w:t xml:space="preserve"> a cultural relativist and critical to thinking like an ethnographer. </w:t>
      </w:r>
    </w:p>
    <w:p w14:paraId="06313E40" w14:textId="77777777" w:rsidR="00306DAA" w:rsidRDefault="00306DAA" w:rsidP="00306DAA">
      <w:pPr>
        <w:ind w:firstLine="720"/>
        <w:rPr>
          <w:rFonts w:ascii="Times New Roman" w:eastAsia="Times New Roman" w:hAnsi="Times New Roman" w:cs="Times New Roman"/>
        </w:rPr>
      </w:pPr>
      <w:r>
        <w:rPr>
          <w:rFonts w:ascii="Times New Roman" w:eastAsia="Times New Roman" w:hAnsi="Times New Roman" w:cs="Times New Roman"/>
        </w:rPr>
        <w:t xml:space="preserve">In 1899, Boas became the first ever Professor of Anthropology at Columbia University in New York City, where he worked for 41 years. During that time, he mentored many ethnographers, including Zora Neale Hurston and Margaret Mead. Hurston was the first black woman to graduate from Barnard College and used her ethnographic research about folklore to write famous novels and essays about African American culture from a detailed, rich and positive perspective. Mead also became well known both inside and outside of academic circles for her work with the youth in Samoa. She used ethnographic research to challenge ideas held in the United States and Europe that all teenagers experienced a period of “storm and stress” and that this </w:t>
      </w:r>
      <w:proofErr w:type="gramStart"/>
      <w:r>
        <w:rPr>
          <w:rFonts w:ascii="Times New Roman" w:eastAsia="Times New Roman" w:hAnsi="Times New Roman" w:cs="Times New Roman"/>
        </w:rPr>
        <w:t>was something that was</w:t>
      </w:r>
      <w:proofErr w:type="gramEnd"/>
      <w:r>
        <w:rPr>
          <w:rFonts w:ascii="Times New Roman" w:eastAsia="Times New Roman" w:hAnsi="Times New Roman" w:cs="Times New Roman"/>
        </w:rPr>
        <w:t xml:space="preserve"> universal and not limited to one culture or society. She found that the “teen angst” that her culture assumed was present everywhere was not present in Samoa. Without an ethnographic mindset, Mead would have likely assumed that the teenagers in Samoa would be behaving in similar ways to those she grew up around in the US. Her work helped researchers and the general public understand the value of ethnography and the importance of cultural relativism.     </w:t>
      </w:r>
    </w:p>
    <w:p w14:paraId="2A2DC08B" w14:textId="77777777" w:rsidR="00306DAA" w:rsidRDefault="00306DAA" w:rsidP="00306DAA">
      <w:pPr>
        <w:ind w:firstLine="720"/>
        <w:rPr>
          <w:rFonts w:ascii="Times New Roman" w:eastAsia="Times New Roman" w:hAnsi="Times New Roman" w:cs="Times New Roman"/>
        </w:rPr>
      </w:pPr>
    </w:p>
    <w:p w14:paraId="38405D2D" w14:textId="77777777" w:rsidR="00306DAA" w:rsidRPr="00B7293D" w:rsidRDefault="00306DAA" w:rsidP="00306DAA">
      <w:pPr>
        <w:pStyle w:val="Heading2"/>
        <w:spacing w:before="0"/>
        <w:rPr>
          <w:color w:val="auto"/>
        </w:rPr>
      </w:pPr>
      <w:r w:rsidRPr="00B7293D">
        <w:rPr>
          <w:color w:val="auto"/>
        </w:rPr>
        <w:t>Operationalizing the Ethnographic Mindset</w:t>
      </w:r>
    </w:p>
    <w:p w14:paraId="18436888" w14:textId="77777777" w:rsidR="00306DAA" w:rsidRDefault="00306DAA" w:rsidP="00306DAA">
      <w:pPr>
        <w:ind w:firstLine="360"/>
        <w:rPr>
          <w:rFonts w:ascii="Times New Roman" w:eastAsia="Times New Roman" w:hAnsi="Times New Roman" w:cs="Times New Roman"/>
        </w:rPr>
      </w:pPr>
      <w:r>
        <w:rPr>
          <w:rFonts w:ascii="Times New Roman" w:eastAsia="Times New Roman" w:hAnsi="Times New Roman" w:cs="Times New Roman"/>
        </w:rPr>
        <w:t xml:space="preserve">The ethnographic mindset is grounded in the concept of cultural relativism, however, it takes many steps and training to truly “step out” of your own culture and be an impartial observer of behavior that might be very different from your </w:t>
      </w:r>
      <w:proofErr w:type="gramStart"/>
      <w:r>
        <w:rPr>
          <w:rFonts w:ascii="Times New Roman" w:eastAsia="Times New Roman" w:hAnsi="Times New Roman" w:cs="Times New Roman"/>
        </w:rPr>
        <w:t>Below,.</w:t>
      </w:r>
      <w:proofErr w:type="gramEnd"/>
      <w:r>
        <w:rPr>
          <w:rFonts w:ascii="Times New Roman" w:eastAsia="Times New Roman" w:hAnsi="Times New Roman" w:cs="Times New Roman"/>
        </w:rPr>
        <w:t xml:space="preserve">   we outline several key qualities and steps that will help in working to develop the ethnographic mindset. </w:t>
      </w:r>
    </w:p>
    <w:p w14:paraId="6D0DF36F" w14:textId="77777777" w:rsidR="00306DAA" w:rsidRDefault="00306DAA" w:rsidP="00306DAA">
      <w:pPr>
        <w:rPr>
          <w:rFonts w:ascii="Times New Roman" w:eastAsia="Times New Roman" w:hAnsi="Times New Roman" w:cs="Times New Roman"/>
        </w:rPr>
      </w:pPr>
    </w:p>
    <w:p w14:paraId="4B40D4D9" w14:textId="77777777" w:rsidR="00306DAA" w:rsidRPr="00B7293D" w:rsidRDefault="00306DAA" w:rsidP="00C23CDB">
      <w:pPr>
        <w:pStyle w:val="ListParagraph"/>
        <w:numPr>
          <w:ilvl w:val="0"/>
          <w:numId w:val="16"/>
        </w:numPr>
        <w:rPr>
          <w:rFonts w:ascii="Times New Roman" w:eastAsia="Times New Roman" w:hAnsi="Times New Roman" w:cs="Times New Roman"/>
        </w:rPr>
      </w:pPr>
      <w:r w:rsidRPr="00D60CBC">
        <w:rPr>
          <w:rFonts w:ascii="Times New Roman" w:eastAsia="Times New Roman" w:hAnsi="Times New Roman" w:cs="Times New Roman"/>
        </w:rPr>
        <w:t xml:space="preserve">No Judgment </w:t>
      </w:r>
    </w:p>
    <w:p w14:paraId="1132557D" w14:textId="77777777" w:rsidR="00306DAA" w:rsidRDefault="00306DAA" w:rsidP="00306DAA">
      <w:pPr>
        <w:pStyle w:val="ListParagraph"/>
        <w:ind w:left="360"/>
        <w:rPr>
          <w:rFonts w:ascii="Times New Roman" w:eastAsia="Times New Roman" w:hAnsi="Times New Roman" w:cs="Times New Roman"/>
        </w:rPr>
      </w:pPr>
      <w:r>
        <w:rPr>
          <w:rFonts w:ascii="Times New Roman" w:eastAsia="Times New Roman" w:hAnsi="Times New Roman" w:cs="Times New Roman"/>
        </w:rPr>
        <w:t>M</w:t>
      </w:r>
      <w:r w:rsidRPr="00D60CBC">
        <w:rPr>
          <w:rFonts w:ascii="Times New Roman" w:eastAsia="Times New Roman" w:hAnsi="Times New Roman" w:cs="Times New Roman"/>
        </w:rPr>
        <w:t xml:space="preserve">ost people </w:t>
      </w:r>
      <w:r>
        <w:rPr>
          <w:rFonts w:ascii="Times New Roman" w:eastAsia="Times New Roman" w:hAnsi="Times New Roman" w:cs="Times New Roman"/>
        </w:rPr>
        <w:t>i</w:t>
      </w:r>
      <w:r w:rsidRPr="00D60CBC">
        <w:rPr>
          <w:rFonts w:ascii="Times New Roman" w:eastAsia="Times New Roman" w:hAnsi="Times New Roman" w:cs="Times New Roman"/>
        </w:rPr>
        <w:t xml:space="preserve">f asked if </w:t>
      </w:r>
      <w:r>
        <w:rPr>
          <w:rFonts w:ascii="Times New Roman" w:eastAsia="Times New Roman" w:hAnsi="Times New Roman" w:cs="Times New Roman"/>
        </w:rPr>
        <w:t>they</w:t>
      </w:r>
      <w:r w:rsidRPr="00D60CBC">
        <w:rPr>
          <w:rFonts w:ascii="Times New Roman" w:eastAsia="Times New Roman" w:hAnsi="Times New Roman" w:cs="Times New Roman"/>
        </w:rPr>
        <w:t xml:space="preserve"> </w:t>
      </w:r>
      <w:proofErr w:type="gramStart"/>
      <w:r w:rsidRPr="00D60CBC">
        <w:rPr>
          <w:rFonts w:ascii="Times New Roman" w:eastAsia="Times New Roman" w:hAnsi="Times New Roman" w:cs="Times New Roman"/>
        </w:rPr>
        <w:t>were  judgmental</w:t>
      </w:r>
      <w:proofErr w:type="gramEnd"/>
      <w:r w:rsidRPr="00D60CBC">
        <w:rPr>
          <w:rFonts w:ascii="Times New Roman" w:eastAsia="Times New Roman" w:hAnsi="Times New Roman" w:cs="Times New Roman"/>
        </w:rPr>
        <w:t xml:space="preserve"> would probably say “no.”   , however, we make small judgments every day as part of our daily lives. Have you ever been riding the bus or the train and thought someone was strangely dressed? How about thinking someone at a </w:t>
      </w:r>
      <w:r w:rsidRPr="00D60CBC">
        <w:rPr>
          <w:rFonts w:ascii="Times New Roman" w:eastAsia="Times New Roman" w:hAnsi="Times New Roman" w:cs="Times New Roman"/>
        </w:rPr>
        <w:lastRenderedPageBreak/>
        <w:t>restaurant was speaking too loudly? Or eating in an impolite way? These are simply everyday judgments based on what your culture has taught you is normal to do. These cultural norms</w:t>
      </w:r>
      <w:r>
        <w:rPr>
          <w:rFonts w:ascii="Times New Roman" w:eastAsia="Times New Roman" w:hAnsi="Times New Roman" w:cs="Times New Roman"/>
        </w:rPr>
        <w:t xml:space="preserve"> </w:t>
      </w:r>
      <w:r w:rsidRPr="00D60CBC">
        <w:rPr>
          <w:rFonts w:ascii="Times New Roman" w:eastAsia="Times New Roman" w:hAnsi="Times New Roman" w:cs="Times New Roman"/>
        </w:rPr>
        <w:t>are learned from family, friends, school, the media, etc. from a very early age and we rarely question them or consider them as judgments. However, in order to really develop an ethnographic way of thinking, we need to focus on not passing judgment about what we observe and instead simply observe and describe it. For example, if you observe a person in a restaurant eating with her hands, you might write, “there was a disgusting mess on her fingers.” This observation passes judgment. Instead, a developed ethnographic mind might write, “there was food extending down each finger and onto the palms of her hands. A napkin was visible on the table but not used.” A good rule of thumb is to consider what happened and not what you think of it (not yet anyway-</w:t>
      </w:r>
      <w:r>
        <w:rPr>
          <w:rFonts w:ascii="Times New Roman" w:eastAsia="Times New Roman" w:hAnsi="Times New Roman" w:cs="Times New Roman"/>
        </w:rPr>
        <w:t xml:space="preserve"> the</w:t>
      </w:r>
      <w:r w:rsidRPr="00D60CBC">
        <w:rPr>
          <w:rFonts w:ascii="Times New Roman" w:eastAsia="Times New Roman" w:hAnsi="Times New Roman" w:cs="Times New Roman"/>
        </w:rPr>
        <w:t xml:space="preserve"> analysis comes later). </w:t>
      </w:r>
    </w:p>
    <w:p w14:paraId="530648EB" w14:textId="77777777" w:rsidR="00306DAA" w:rsidRDefault="00306DAA" w:rsidP="00306DAA">
      <w:pPr>
        <w:pStyle w:val="ListParagraph"/>
        <w:rPr>
          <w:rFonts w:ascii="Times New Roman" w:eastAsia="Times New Roman" w:hAnsi="Times New Roman" w:cs="Times New Roman"/>
        </w:rPr>
      </w:pPr>
    </w:p>
    <w:p w14:paraId="3328352A" w14:textId="77777777" w:rsidR="00306DAA" w:rsidRDefault="00306DAA" w:rsidP="00C23CDB">
      <w:pPr>
        <w:pStyle w:val="ListParagraph"/>
        <w:numPr>
          <w:ilvl w:val="0"/>
          <w:numId w:val="16"/>
        </w:numPr>
        <w:rPr>
          <w:rFonts w:ascii="Times New Roman" w:eastAsia="Times New Roman" w:hAnsi="Times New Roman" w:cs="Times New Roman"/>
        </w:rPr>
      </w:pPr>
      <w:r w:rsidRPr="00D60CBC">
        <w:rPr>
          <w:rFonts w:ascii="Times New Roman" w:eastAsia="Times New Roman" w:hAnsi="Times New Roman" w:cs="Times New Roman"/>
        </w:rPr>
        <w:t>Act like an Alien</w:t>
      </w:r>
    </w:p>
    <w:p w14:paraId="288C6546" w14:textId="77777777" w:rsidR="00306DAA" w:rsidRPr="00B7293D" w:rsidRDefault="00306DAA" w:rsidP="00306DAA">
      <w:pPr>
        <w:pStyle w:val="ListParagraph"/>
        <w:rPr>
          <w:rFonts w:ascii="Times New Roman" w:eastAsia="Times New Roman" w:hAnsi="Times New Roman" w:cs="Times New Roman"/>
        </w:rPr>
      </w:pPr>
      <w:r w:rsidRPr="00B7293D">
        <w:rPr>
          <w:rFonts w:ascii="Times New Roman" w:eastAsia="Times New Roman" w:hAnsi="Times New Roman" w:cs="Times New Roman"/>
        </w:rPr>
        <w:t xml:space="preserve">It can be a helpful exercise to try and think about what it would be like to be from another planet on Earth to observe humans. Pretend that you know nothing about human behavior- nothing about what humans are supposed to do or how they are supposed to act. This way, you can attempt to really step out of all you have assumed or been taught throughout your life and </w:t>
      </w:r>
      <w:proofErr w:type="gramStart"/>
      <w:r w:rsidRPr="00B7293D">
        <w:rPr>
          <w:rFonts w:ascii="Times New Roman" w:eastAsia="Times New Roman" w:hAnsi="Times New Roman" w:cs="Times New Roman"/>
        </w:rPr>
        <w:t>really just</w:t>
      </w:r>
      <w:proofErr w:type="gramEnd"/>
      <w:r w:rsidRPr="00B7293D">
        <w:rPr>
          <w:rFonts w:ascii="Times New Roman" w:eastAsia="Times New Roman" w:hAnsi="Times New Roman" w:cs="Times New Roman"/>
        </w:rPr>
        <w:t xml:space="preserve"> see things for what they are. Of course, it is almost impossible to completely forget everything you know but you can practice by focusing on </w:t>
      </w:r>
      <w:proofErr w:type="spellStart"/>
      <w:r w:rsidRPr="00B7293D">
        <w:rPr>
          <w:rFonts w:ascii="Times New Roman" w:eastAsia="Times New Roman" w:hAnsi="Times New Roman" w:cs="Times New Roman"/>
        </w:rPr>
        <w:t>everyday</w:t>
      </w:r>
      <w:proofErr w:type="spellEnd"/>
      <w:r w:rsidRPr="00B7293D">
        <w:rPr>
          <w:rFonts w:ascii="Times New Roman" w:eastAsia="Times New Roman" w:hAnsi="Times New Roman" w:cs="Times New Roman"/>
        </w:rPr>
        <w:t>, mundane activities and try seeing details you have never noticed before because you take them for granted.</w:t>
      </w:r>
    </w:p>
    <w:p w14:paraId="2D16002E" w14:textId="77777777" w:rsidR="00306DAA" w:rsidRDefault="00306DAA" w:rsidP="00306DAA">
      <w:pPr>
        <w:rPr>
          <w:rFonts w:ascii="Times New Roman" w:eastAsia="Times New Roman" w:hAnsi="Times New Roman" w:cs="Times New Roman"/>
        </w:rPr>
      </w:pPr>
    </w:p>
    <w:p w14:paraId="40119EB5" w14:textId="77777777" w:rsidR="00306DAA" w:rsidRDefault="00306DAA" w:rsidP="00306DAA">
      <w:pPr>
        <w:rPr>
          <w:rFonts w:ascii="Times New Roman" w:eastAsia="Times New Roman" w:hAnsi="Times New Roman" w:cs="Times New Roman"/>
        </w:rPr>
      </w:pPr>
      <w:r>
        <w:rPr>
          <w:rFonts w:ascii="Times New Roman" w:eastAsia="Times New Roman" w:hAnsi="Times New Roman" w:cs="Times New Roman"/>
        </w:rPr>
        <w:t>Example activity:  Take a ride in an elevator. As you climb the floors, watch the people who get in and out. Pretend you are an alien and have never ridden in an elevator before. What do you notice? What are people doing? Do they do similar or different things from each other? Do they notice you? Try this activity with and without a notebook to write down your observations. Is there any difference in how people behave toward you? This activity will help you notice ordinary actions in a different way.</w:t>
      </w:r>
    </w:p>
    <w:p w14:paraId="7F024FDB" w14:textId="77777777" w:rsidR="00306DAA" w:rsidRDefault="00306DAA" w:rsidP="00306DAA">
      <w:pPr>
        <w:rPr>
          <w:rFonts w:ascii="Times New Roman" w:eastAsia="Times New Roman" w:hAnsi="Times New Roman" w:cs="Times New Roman"/>
        </w:rPr>
      </w:pPr>
      <w:r>
        <w:rPr>
          <w:rFonts w:ascii="Times New Roman" w:eastAsia="Times New Roman" w:hAnsi="Times New Roman" w:cs="Times New Roman"/>
        </w:rPr>
        <w:t xml:space="preserve"> </w:t>
      </w:r>
    </w:p>
    <w:p w14:paraId="16BE770D" w14:textId="77777777" w:rsidR="00306DAA" w:rsidRDefault="00306DAA" w:rsidP="00C23CDB">
      <w:pPr>
        <w:pStyle w:val="ListParagraph"/>
        <w:numPr>
          <w:ilvl w:val="0"/>
          <w:numId w:val="16"/>
        </w:numPr>
        <w:rPr>
          <w:rFonts w:ascii="Times New Roman" w:eastAsia="Times New Roman" w:hAnsi="Times New Roman" w:cs="Times New Roman"/>
        </w:rPr>
      </w:pPr>
      <w:r w:rsidRPr="00D60CBC">
        <w:rPr>
          <w:rFonts w:ascii="Times New Roman" w:eastAsia="Times New Roman" w:hAnsi="Times New Roman" w:cs="Times New Roman"/>
        </w:rPr>
        <w:t xml:space="preserve">Be an Insider and an Outsider </w:t>
      </w:r>
    </w:p>
    <w:p w14:paraId="23E9F62E" w14:textId="77777777" w:rsidR="00306DAA" w:rsidRDefault="00306DAA" w:rsidP="00306DAA">
      <w:pPr>
        <w:pStyle w:val="ListParagraph"/>
        <w:rPr>
          <w:rFonts w:ascii="Times New Roman" w:eastAsia="Times New Roman" w:hAnsi="Times New Roman" w:cs="Times New Roman"/>
        </w:rPr>
      </w:pPr>
      <w:r w:rsidRPr="00B7293D">
        <w:rPr>
          <w:rFonts w:ascii="Times New Roman" w:eastAsia="Times New Roman" w:hAnsi="Times New Roman" w:cs="Times New Roman"/>
        </w:rPr>
        <w:t xml:space="preserve">It is important to really step outside of your culture and develop the perspective of an alien looking in without judgment. It also important, however, to develop an insider perspective at the same time. To really understand a community or a culture, it is important to understand what motivates and drives that community. It is difficult to be an outsider and an insider at the same time- to look in and observe but to also be a part of the action. Good ethnographers will develop the ability to understand when each perspective is valuable. </w:t>
      </w:r>
      <w:r>
        <w:rPr>
          <w:rFonts w:ascii="Times New Roman" w:eastAsia="Times New Roman" w:hAnsi="Times New Roman" w:cs="Times New Roman"/>
        </w:rPr>
        <w:t xml:space="preserve">For example, if you are researching the role of dance in Garifuna ceremonies, it is important to sit back and watch the different parts of the ceremony with respect. It is also important to participate in the dance if the community invites you so that you can deeply understand the rules and the moves involved in the dance. Thinking like an ethnographer means being willing to both sit back and observe and to join in the </w:t>
      </w:r>
      <w:proofErr w:type="gramStart"/>
      <w:r>
        <w:rPr>
          <w:rFonts w:ascii="Times New Roman" w:eastAsia="Times New Roman" w:hAnsi="Times New Roman" w:cs="Times New Roman"/>
        </w:rPr>
        <w:t>action, AND</w:t>
      </w:r>
      <w:proofErr w:type="gramEnd"/>
      <w:r>
        <w:rPr>
          <w:rFonts w:ascii="Times New Roman" w:eastAsia="Times New Roman" w:hAnsi="Times New Roman" w:cs="Times New Roman"/>
        </w:rPr>
        <w:t xml:space="preserve"> trying to understand which action is appropriate at which time.</w:t>
      </w:r>
    </w:p>
    <w:p w14:paraId="61960EFC" w14:textId="77777777" w:rsidR="00306DAA" w:rsidRPr="00B7293D" w:rsidRDefault="00306DAA" w:rsidP="00306DAA">
      <w:pPr>
        <w:pStyle w:val="ListParagraph"/>
        <w:rPr>
          <w:rFonts w:ascii="Times New Roman" w:eastAsia="Times New Roman" w:hAnsi="Times New Roman" w:cs="Times New Roman"/>
        </w:rPr>
      </w:pPr>
    </w:p>
    <w:p w14:paraId="54C9D64D" w14:textId="77777777" w:rsidR="00306DAA" w:rsidRDefault="00306DAA" w:rsidP="00C23CDB">
      <w:pPr>
        <w:pStyle w:val="ListParagraph"/>
        <w:numPr>
          <w:ilvl w:val="0"/>
          <w:numId w:val="16"/>
        </w:numPr>
        <w:rPr>
          <w:rFonts w:ascii="Times New Roman" w:eastAsia="Times New Roman" w:hAnsi="Times New Roman" w:cs="Times New Roman"/>
        </w:rPr>
      </w:pPr>
      <w:r w:rsidRPr="00D60CBC">
        <w:rPr>
          <w:rFonts w:ascii="Times New Roman" w:eastAsia="Times New Roman" w:hAnsi="Times New Roman" w:cs="Times New Roman"/>
        </w:rPr>
        <w:t>Holistic and Immersive</w:t>
      </w:r>
    </w:p>
    <w:p w14:paraId="5E2F325F" w14:textId="77777777" w:rsidR="00306DAA" w:rsidRPr="00B7293D" w:rsidRDefault="00306DAA" w:rsidP="00306DAA">
      <w:pPr>
        <w:pStyle w:val="ListParagraph"/>
        <w:rPr>
          <w:rFonts w:ascii="Times New Roman" w:eastAsia="Times New Roman" w:hAnsi="Times New Roman" w:cs="Times New Roman"/>
        </w:rPr>
      </w:pPr>
      <w:r>
        <w:rPr>
          <w:rFonts w:ascii="Times New Roman" w:eastAsia="Times New Roman" w:hAnsi="Times New Roman" w:cs="Times New Roman"/>
        </w:rPr>
        <w:t>Thinking like an ethnographer</w:t>
      </w:r>
      <w:r w:rsidRPr="00B7293D">
        <w:rPr>
          <w:rFonts w:ascii="Times New Roman" w:eastAsia="Times New Roman" w:hAnsi="Times New Roman" w:cs="Times New Roman"/>
        </w:rPr>
        <w:t xml:space="preserve"> relies on seeing details but it also takes a broad view of human behavior. Anthropologists often say that they study humans “across time and </w:t>
      </w:r>
      <w:r w:rsidRPr="00B7293D">
        <w:rPr>
          <w:rFonts w:ascii="Times New Roman" w:eastAsia="Times New Roman" w:hAnsi="Times New Roman" w:cs="Times New Roman"/>
        </w:rPr>
        <w:lastRenderedPageBreak/>
        <w:t xml:space="preserve">space” and it is important to keep the big picture of human behavior in mind when conducting ethnographic research. Developing the ethnographic mindset includes fostering an interest in how the details connect to each other to form the whole view of a community or culture. Often, this view is formed by ethnographers immersing themselves in the community. </w:t>
      </w:r>
      <w:r>
        <w:rPr>
          <w:rFonts w:ascii="Times New Roman" w:eastAsia="Times New Roman" w:hAnsi="Times New Roman" w:cs="Times New Roman"/>
        </w:rPr>
        <w:t xml:space="preserve">Immersion means that you spend some time surrounded by the everyday practices where you are focusing your research and </w:t>
      </w:r>
      <w:proofErr w:type="gramStart"/>
      <w:r>
        <w:rPr>
          <w:rFonts w:ascii="Times New Roman" w:eastAsia="Times New Roman" w:hAnsi="Times New Roman" w:cs="Times New Roman"/>
        </w:rPr>
        <w:t>take into account</w:t>
      </w:r>
      <w:proofErr w:type="gramEnd"/>
      <w:r>
        <w:rPr>
          <w:rFonts w:ascii="Times New Roman" w:eastAsia="Times New Roman" w:hAnsi="Times New Roman" w:cs="Times New Roman"/>
        </w:rPr>
        <w:t xml:space="preserve"> details that may not seem directly related to your research at first. </w:t>
      </w:r>
      <w:r w:rsidRPr="00B7293D">
        <w:rPr>
          <w:rFonts w:ascii="Times New Roman" w:eastAsia="Times New Roman" w:hAnsi="Times New Roman" w:cs="Times New Roman"/>
        </w:rPr>
        <w:t xml:space="preserve">In contrast to conducting a survey, as an example, collecting ethnographic data is enriched by spending extended periods of time in a community and really understanding the context for the observations, interviews and other data to be collected. </w:t>
      </w:r>
      <w:r>
        <w:rPr>
          <w:rFonts w:ascii="Times New Roman" w:eastAsia="Times New Roman" w:hAnsi="Times New Roman" w:cs="Times New Roman"/>
        </w:rPr>
        <w:t>Traditionally, ethnographers spend at least a year living and researching in a community in order to fully immerse themselves in the details of daily life. We</w:t>
      </w:r>
      <w:r w:rsidRPr="00B7293D">
        <w:rPr>
          <w:rFonts w:ascii="Times New Roman" w:eastAsia="Times New Roman" w:hAnsi="Times New Roman" w:cs="Times New Roman"/>
        </w:rPr>
        <w:t xml:space="preserve"> might not have a year</w:t>
      </w:r>
      <w:r>
        <w:rPr>
          <w:rFonts w:ascii="Times New Roman" w:eastAsia="Times New Roman" w:hAnsi="Times New Roman" w:cs="Times New Roman"/>
        </w:rPr>
        <w:t>,</w:t>
      </w:r>
      <w:r w:rsidRPr="00B7293D">
        <w:rPr>
          <w:rFonts w:ascii="Times New Roman" w:eastAsia="Times New Roman" w:hAnsi="Times New Roman" w:cs="Times New Roman"/>
        </w:rPr>
        <w:t xml:space="preserve"> a month </w:t>
      </w:r>
      <w:r>
        <w:rPr>
          <w:rFonts w:ascii="Times New Roman" w:eastAsia="Times New Roman" w:hAnsi="Times New Roman" w:cs="Times New Roman"/>
        </w:rPr>
        <w:t xml:space="preserve">or even more than an hour </w:t>
      </w:r>
      <w:r w:rsidRPr="00B7293D">
        <w:rPr>
          <w:rFonts w:ascii="Times New Roman" w:eastAsia="Times New Roman" w:hAnsi="Times New Roman" w:cs="Times New Roman"/>
        </w:rPr>
        <w:t xml:space="preserve">to </w:t>
      </w:r>
      <w:r>
        <w:rPr>
          <w:rFonts w:ascii="Times New Roman" w:eastAsia="Times New Roman" w:hAnsi="Times New Roman" w:cs="Times New Roman"/>
        </w:rPr>
        <w:t>do an assignment or conduct</w:t>
      </w:r>
      <w:r w:rsidRPr="00B7293D">
        <w:rPr>
          <w:rFonts w:ascii="Times New Roman" w:eastAsia="Times New Roman" w:hAnsi="Times New Roman" w:cs="Times New Roman"/>
        </w:rPr>
        <w:t xml:space="preserve"> </w:t>
      </w:r>
      <w:r>
        <w:rPr>
          <w:rFonts w:ascii="Times New Roman" w:eastAsia="Times New Roman" w:hAnsi="Times New Roman" w:cs="Times New Roman"/>
        </w:rPr>
        <w:t>our</w:t>
      </w:r>
      <w:r w:rsidRPr="00B7293D">
        <w:rPr>
          <w:rFonts w:ascii="Times New Roman" w:eastAsia="Times New Roman" w:hAnsi="Times New Roman" w:cs="Times New Roman"/>
        </w:rPr>
        <w:t xml:space="preserve"> research but </w:t>
      </w:r>
      <w:r>
        <w:rPr>
          <w:rFonts w:ascii="Times New Roman" w:eastAsia="Times New Roman" w:hAnsi="Times New Roman" w:cs="Times New Roman"/>
        </w:rPr>
        <w:t>we</w:t>
      </w:r>
      <w:r w:rsidRPr="00B7293D">
        <w:rPr>
          <w:rFonts w:ascii="Times New Roman" w:eastAsia="Times New Roman" w:hAnsi="Times New Roman" w:cs="Times New Roman"/>
        </w:rPr>
        <w:t xml:space="preserve"> can </w:t>
      </w:r>
      <w:proofErr w:type="gramStart"/>
      <w:r w:rsidRPr="00B7293D">
        <w:rPr>
          <w:rFonts w:ascii="Times New Roman" w:eastAsia="Times New Roman" w:hAnsi="Times New Roman" w:cs="Times New Roman"/>
        </w:rPr>
        <w:t>still keep</w:t>
      </w:r>
      <w:proofErr w:type="gramEnd"/>
      <w:r w:rsidRPr="00B7293D">
        <w:rPr>
          <w:rFonts w:ascii="Times New Roman" w:eastAsia="Times New Roman" w:hAnsi="Times New Roman" w:cs="Times New Roman"/>
        </w:rPr>
        <w:t xml:space="preserve"> in mind how </w:t>
      </w:r>
      <w:r>
        <w:rPr>
          <w:rFonts w:ascii="Times New Roman" w:eastAsia="Times New Roman" w:hAnsi="Times New Roman" w:cs="Times New Roman"/>
        </w:rPr>
        <w:t>we</w:t>
      </w:r>
      <w:r w:rsidRPr="00B7293D">
        <w:rPr>
          <w:rFonts w:ascii="Times New Roman" w:eastAsia="Times New Roman" w:hAnsi="Times New Roman" w:cs="Times New Roman"/>
        </w:rPr>
        <w:t xml:space="preserve"> can go deeper</w:t>
      </w:r>
      <w:r>
        <w:rPr>
          <w:rFonts w:ascii="Times New Roman" w:eastAsia="Times New Roman" w:hAnsi="Times New Roman" w:cs="Times New Roman"/>
        </w:rPr>
        <w:t xml:space="preserve"> and be more holistic</w:t>
      </w:r>
      <w:r w:rsidRPr="00B7293D">
        <w:rPr>
          <w:rFonts w:ascii="Times New Roman" w:eastAsia="Times New Roman" w:hAnsi="Times New Roman" w:cs="Times New Roman"/>
        </w:rPr>
        <w:t xml:space="preserve"> in </w:t>
      </w:r>
      <w:r>
        <w:rPr>
          <w:rFonts w:ascii="Times New Roman" w:eastAsia="Times New Roman" w:hAnsi="Times New Roman" w:cs="Times New Roman"/>
        </w:rPr>
        <w:t>our</w:t>
      </w:r>
      <w:r w:rsidRPr="00B7293D">
        <w:rPr>
          <w:rFonts w:ascii="Times New Roman" w:eastAsia="Times New Roman" w:hAnsi="Times New Roman" w:cs="Times New Roman"/>
        </w:rPr>
        <w:t xml:space="preserve"> study rather than skimming the surface.    </w:t>
      </w:r>
    </w:p>
    <w:p w14:paraId="53AC3DA7" w14:textId="77777777" w:rsidR="00306DAA" w:rsidRDefault="00306DAA" w:rsidP="00306DAA">
      <w:pPr>
        <w:rPr>
          <w:rFonts w:ascii="Times New Roman" w:eastAsia="Times New Roman" w:hAnsi="Times New Roman" w:cs="Times New Roman"/>
        </w:rPr>
      </w:pPr>
    </w:p>
    <w:p w14:paraId="11C61307" w14:textId="77777777" w:rsidR="00306DAA" w:rsidRDefault="00306DAA" w:rsidP="00C23CDB">
      <w:pPr>
        <w:pStyle w:val="ListParagraph"/>
        <w:numPr>
          <w:ilvl w:val="0"/>
          <w:numId w:val="16"/>
        </w:numPr>
        <w:rPr>
          <w:rFonts w:ascii="Times New Roman" w:eastAsia="Times New Roman" w:hAnsi="Times New Roman" w:cs="Times New Roman"/>
        </w:rPr>
      </w:pPr>
      <w:r w:rsidRPr="00D60CBC">
        <w:rPr>
          <w:rFonts w:ascii="Times New Roman" w:eastAsia="Times New Roman" w:hAnsi="Times New Roman" w:cs="Times New Roman"/>
        </w:rPr>
        <w:t>Awareness</w:t>
      </w:r>
    </w:p>
    <w:p w14:paraId="76D4A179" w14:textId="77777777" w:rsidR="00306DAA" w:rsidRPr="00B7293D" w:rsidRDefault="00306DAA" w:rsidP="00306DAA">
      <w:pPr>
        <w:pStyle w:val="ListParagraph"/>
        <w:rPr>
          <w:rFonts w:ascii="Times New Roman" w:eastAsia="Times New Roman" w:hAnsi="Times New Roman" w:cs="Times New Roman"/>
        </w:rPr>
      </w:pPr>
      <w:r w:rsidRPr="00B7293D">
        <w:rPr>
          <w:rFonts w:ascii="Times New Roman" w:eastAsia="Times New Roman" w:hAnsi="Times New Roman" w:cs="Times New Roman"/>
        </w:rPr>
        <w:t>The ethnographic mindset includes a heightened sense of awareness about what is happening around you. Being aware of your surroundings, the context of what is going on around you and how people are considering and affected by your presence is an important piece of the ethnographic puzzle. Ethnographers can never “check out” as they will never know what small detail will become important to understanding what they are studying.</w:t>
      </w:r>
      <w:r>
        <w:rPr>
          <w:rFonts w:ascii="Times New Roman" w:eastAsia="Times New Roman" w:hAnsi="Times New Roman" w:cs="Times New Roman"/>
        </w:rPr>
        <w:t xml:space="preserve"> As an ethnographer, there is no “time off” and you are always “on” as you observe and engage.</w:t>
      </w:r>
      <w:r w:rsidRPr="00B7293D">
        <w:rPr>
          <w:rFonts w:ascii="Times New Roman" w:eastAsia="Times New Roman" w:hAnsi="Times New Roman" w:cs="Times New Roman"/>
        </w:rPr>
        <w:t xml:space="preserve"> </w:t>
      </w:r>
    </w:p>
    <w:p w14:paraId="5643860F" w14:textId="77777777" w:rsidR="00306DAA" w:rsidRDefault="00306DAA" w:rsidP="00306DAA">
      <w:pPr>
        <w:pStyle w:val="ListParagraph"/>
        <w:rPr>
          <w:rFonts w:ascii="Times New Roman" w:eastAsia="Times New Roman" w:hAnsi="Times New Roman" w:cs="Times New Roman"/>
        </w:rPr>
      </w:pPr>
    </w:p>
    <w:p w14:paraId="777AC4E3" w14:textId="77777777" w:rsidR="00306DAA" w:rsidRDefault="00306DAA" w:rsidP="00C23CDB">
      <w:pPr>
        <w:pStyle w:val="ListParagraph"/>
        <w:numPr>
          <w:ilvl w:val="0"/>
          <w:numId w:val="16"/>
        </w:numPr>
        <w:rPr>
          <w:rFonts w:ascii="Times New Roman" w:eastAsia="Times New Roman" w:hAnsi="Times New Roman" w:cs="Times New Roman"/>
        </w:rPr>
      </w:pPr>
      <w:r w:rsidRPr="00D60CBC">
        <w:rPr>
          <w:rFonts w:ascii="Times New Roman" w:eastAsia="Times New Roman" w:hAnsi="Times New Roman" w:cs="Times New Roman"/>
        </w:rPr>
        <w:t>Openness and Curiosity</w:t>
      </w:r>
    </w:p>
    <w:p w14:paraId="3BE037B2" w14:textId="77777777" w:rsidR="00306DAA" w:rsidRPr="00B7293D" w:rsidRDefault="00306DAA" w:rsidP="00306DAA">
      <w:pPr>
        <w:pStyle w:val="ListParagraph"/>
        <w:rPr>
          <w:rFonts w:ascii="Times New Roman" w:eastAsia="Times New Roman" w:hAnsi="Times New Roman" w:cs="Times New Roman"/>
        </w:rPr>
      </w:pPr>
      <w:r>
        <w:rPr>
          <w:rFonts w:ascii="Times New Roman" w:eastAsia="Times New Roman" w:hAnsi="Times New Roman" w:cs="Times New Roman"/>
        </w:rPr>
        <w:t>Ethnographic thinking</w:t>
      </w:r>
      <w:r w:rsidRPr="00B7293D">
        <w:rPr>
          <w:rFonts w:ascii="Times New Roman" w:eastAsia="Times New Roman" w:hAnsi="Times New Roman" w:cs="Times New Roman"/>
        </w:rPr>
        <w:t xml:space="preserve"> is characterized by an openness to the process of exploration and a curiosity about the process of discovery. Ethnographers should not enter a fieldwork situation already knowing exactly what they want to find and how they are going to find it. While they are often guided by a broad research question, they should strive to be open to new ideas and directions that the research takes them in. Exploring unexpected ideas that arise and being open to thoughts the community members participating in the research have about the direction of the inquiry are critical to thinking like an ethnographer. While sometimes frustrating at first, unexpected avenues to explore can really enrich the research and produce new and useful knowledge. </w:t>
      </w:r>
    </w:p>
    <w:p w14:paraId="23C56BA0" w14:textId="77777777" w:rsidR="00306DAA" w:rsidRDefault="00306DAA" w:rsidP="00306DAA">
      <w:pPr>
        <w:rPr>
          <w:rFonts w:ascii="Times New Roman" w:eastAsia="Times New Roman" w:hAnsi="Times New Roman" w:cs="Times New Roman"/>
        </w:rPr>
      </w:pPr>
    </w:p>
    <w:p w14:paraId="67BEA94C" w14:textId="77777777" w:rsidR="00306DAA" w:rsidRDefault="00306DAA" w:rsidP="00C23CDB">
      <w:pPr>
        <w:pStyle w:val="ListParagraph"/>
        <w:numPr>
          <w:ilvl w:val="0"/>
          <w:numId w:val="16"/>
        </w:numPr>
        <w:rPr>
          <w:rFonts w:ascii="Times New Roman" w:eastAsia="Times New Roman" w:hAnsi="Times New Roman" w:cs="Times New Roman"/>
        </w:rPr>
      </w:pPr>
      <w:r w:rsidRPr="00D60CBC">
        <w:rPr>
          <w:rFonts w:ascii="Times New Roman" w:eastAsia="Times New Roman" w:hAnsi="Times New Roman" w:cs="Times New Roman"/>
        </w:rPr>
        <w:t>Empathy and Humility</w:t>
      </w:r>
    </w:p>
    <w:p w14:paraId="1871B017" w14:textId="77777777" w:rsidR="00306DAA" w:rsidRDefault="00306DAA" w:rsidP="00306DAA">
      <w:pPr>
        <w:pStyle w:val="ListParagraph"/>
        <w:rPr>
          <w:rFonts w:ascii="Times New Roman" w:eastAsia="Times New Roman" w:hAnsi="Times New Roman" w:cs="Times New Roman"/>
        </w:rPr>
      </w:pPr>
      <w:r w:rsidRPr="00B7293D">
        <w:rPr>
          <w:rFonts w:ascii="Times New Roman" w:eastAsia="Times New Roman" w:hAnsi="Times New Roman" w:cs="Times New Roman"/>
        </w:rPr>
        <w:t>In order to understand another person, it is valuable to develop empathy for that person. You can do this by trying to put yourself in that person’s shoes and consider their choices from their own perspective, not from yours. This is a difficult task but critical to the development of the ethnographic mindset. One focus, which makes the process of developing empathy easier, is to develop your own sense of humility. When you work on allowing yourself to understand that your perspective is not better or greater than anyone else’s, but simply different, you help to open your mind to different ways of seeing and thinking about the world. This is key to understanding and can help in doing ethnographic research- but also in navigating a complicated and diverse world.</w:t>
      </w:r>
    </w:p>
    <w:p w14:paraId="5C7D0FE9" w14:textId="77777777" w:rsidR="00306DAA" w:rsidRDefault="00306DAA" w:rsidP="00306DAA">
      <w:pPr>
        <w:pStyle w:val="ListParagraph"/>
        <w:rPr>
          <w:rFonts w:ascii="Times New Roman" w:eastAsia="Times New Roman" w:hAnsi="Times New Roman" w:cs="Times New Roman"/>
        </w:rPr>
      </w:pPr>
    </w:p>
    <w:p w14:paraId="44D84844" w14:textId="77777777" w:rsidR="00306DAA" w:rsidRDefault="00306DAA" w:rsidP="00306DAA">
      <w:pPr>
        <w:rPr>
          <w:rFonts w:ascii="Times New Roman" w:eastAsia="Times New Roman" w:hAnsi="Times New Roman" w:cs="Times New Roman"/>
        </w:rPr>
      </w:pPr>
      <w:r>
        <w:rPr>
          <w:rFonts w:ascii="Times New Roman" w:eastAsia="Times New Roman" w:hAnsi="Times New Roman" w:cs="Times New Roman"/>
        </w:rPr>
        <w:lastRenderedPageBreak/>
        <w:t xml:space="preserve">Example activity: Honing empathy skills can be challenging, particularly when we are conducting research with people in communities different from our own (of course, it can be challenging even with those closest to us!). To practice empathy, engage in an activity that you would not normally do. This may be as simple as riding the bus or preparing a meal. Before you </w:t>
      </w:r>
      <w:proofErr w:type="gramStart"/>
      <w:r>
        <w:rPr>
          <w:rFonts w:ascii="Times New Roman" w:eastAsia="Times New Roman" w:hAnsi="Times New Roman" w:cs="Times New Roman"/>
        </w:rPr>
        <w:t>actually engage</w:t>
      </w:r>
      <w:proofErr w:type="gramEnd"/>
      <w:r>
        <w:rPr>
          <w:rFonts w:ascii="Times New Roman" w:eastAsia="Times New Roman" w:hAnsi="Times New Roman" w:cs="Times New Roman"/>
        </w:rPr>
        <w:t xml:space="preserve"> in the activity, write a short paragraph about what you expect the experience to be like. After participating, write your answers to the following questions: How did engaging in that activity make you feel? How was this the same or different from what you anticipated? How did this activity help you understand the value of empathy in doing ethnography?   </w:t>
      </w:r>
    </w:p>
    <w:p w14:paraId="385944C0" w14:textId="77777777" w:rsidR="00306DAA" w:rsidRPr="00B7293D" w:rsidRDefault="00306DAA" w:rsidP="00306DAA">
      <w:pPr>
        <w:pStyle w:val="ListParagraph"/>
        <w:rPr>
          <w:rFonts w:ascii="Times New Roman" w:eastAsia="Times New Roman" w:hAnsi="Times New Roman" w:cs="Times New Roman"/>
        </w:rPr>
      </w:pPr>
    </w:p>
    <w:p w14:paraId="53AF50BE" w14:textId="77777777" w:rsidR="00306DAA" w:rsidRDefault="00306DAA" w:rsidP="00306DAA">
      <w:pPr>
        <w:rPr>
          <w:rFonts w:ascii="Times New Roman" w:eastAsia="Times New Roman" w:hAnsi="Times New Roman" w:cs="Times New Roman"/>
        </w:rPr>
      </w:pPr>
    </w:p>
    <w:p w14:paraId="07B95E72" w14:textId="77777777" w:rsidR="00306DAA" w:rsidRPr="00B7293D" w:rsidRDefault="00306DAA" w:rsidP="00306DAA">
      <w:pPr>
        <w:pStyle w:val="Heading2"/>
        <w:spacing w:before="0"/>
        <w:rPr>
          <w:color w:val="auto"/>
        </w:rPr>
      </w:pPr>
      <w:r w:rsidRPr="00B7293D">
        <w:rPr>
          <w:color w:val="auto"/>
        </w:rPr>
        <w:t>Moving Forward</w:t>
      </w:r>
    </w:p>
    <w:p w14:paraId="6D68F196" w14:textId="77777777" w:rsidR="00306DAA" w:rsidRDefault="00306DAA" w:rsidP="00306DAA">
      <w:pPr>
        <w:ind w:firstLine="720"/>
        <w:rPr>
          <w:rFonts w:ascii="Times New Roman" w:eastAsia="Times New Roman" w:hAnsi="Times New Roman" w:cs="Times New Roman"/>
        </w:rPr>
      </w:pPr>
      <w:r>
        <w:rPr>
          <w:rFonts w:ascii="Times New Roman" w:eastAsia="Times New Roman" w:hAnsi="Times New Roman" w:cs="Times New Roman"/>
        </w:rPr>
        <w:t xml:space="preserve">Keeping these qualities and examples in mind will help prepare you as a researcher to engage in the methods described in detail later in this book. Training yourself to have an ethnographic mindset does not happen overnight. It takes focus and practice to really step outside your own culture and be an open, empathetic observer without making assumptions and passing judgment. With some preparation, however, the results of the ethnographic research are likely to be richer in detail and accuracy. </w:t>
      </w:r>
    </w:p>
    <w:p w14:paraId="6E08EDD7" w14:textId="77777777" w:rsidR="00306DAA" w:rsidRDefault="00306DAA" w:rsidP="00306DAA">
      <w:pPr>
        <w:ind w:firstLine="720"/>
        <w:rPr>
          <w:rFonts w:ascii="Times New Roman" w:eastAsia="Times New Roman" w:hAnsi="Times New Roman" w:cs="Times New Roman"/>
        </w:rPr>
      </w:pPr>
    </w:p>
    <w:p w14:paraId="6799561A" w14:textId="77777777" w:rsidR="00306DAA" w:rsidRDefault="00306DAA" w:rsidP="00306DAA">
      <w:pPr>
        <w:pStyle w:val="Heading2"/>
        <w:spacing w:before="0"/>
        <w:rPr>
          <w:color w:val="auto"/>
        </w:rPr>
      </w:pPr>
      <w:r>
        <w:rPr>
          <w:color w:val="auto"/>
        </w:rPr>
        <w:t>In Summary</w:t>
      </w:r>
    </w:p>
    <w:p w14:paraId="00890D2C" w14:textId="77777777" w:rsidR="00306DAA" w:rsidRDefault="00306DAA" w:rsidP="00306DAA"/>
    <w:p w14:paraId="24CB0FC7" w14:textId="77777777" w:rsidR="00306DAA" w:rsidRPr="000D0B26" w:rsidRDefault="00306DAA" w:rsidP="00306DAA">
      <w:pPr>
        <w:rPr>
          <w:rFonts w:asciiTheme="majorHAnsi" w:eastAsiaTheme="majorEastAsia" w:hAnsiTheme="majorHAnsi" w:cstheme="majorBidi"/>
          <w:sz w:val="26"/>
          <w:szCs w:val="26"/>
        </w:rPr>
      </w:pPr>
    </w:p>
    <w:p w14:paraId="1D290104" w14:textId="77777777" w:rsidR="00306DAA" w:rsidRDefault="00306DAA" w:rsidP="00C23CDB">
      <w:pPr>
        <w:pStyle w:val="ListParagraph"/>
        <w:numPr>
          <w:ilvl w:val="0"/>
          <w:numId w:val="17"/>
        </w:numPr>
        <w:rPr>
          <w:rFonts w:ascii="Times New Roman" w:eastAsia="Times New Roman" w:hAnsi="Times New Roman" w:cs="Times New Roman"/>
        </w:rPr>
      </w:pPr>
      <w:r w:rsidRPr="00B01C11">
        <w:rPr>
          <w:rFonts w:ascii="Times New Roman" w:eastAsia="Times New Roman" w:hAnsi="Times New Roman" w:cs="Times New Roman"/>
        </w:rPr>
        <w:t xml:space="preserve">Thinking like an ethnographer requires training yourself to observe the details of a culture or community without passing judgment. </w:t>
      </w:r>
    </w:p>
    <w:p w14:paraId="4918AC83" w14:textId="77777777" w:rsidR="00306DAA" w:rsidRDefault="00306DAA" w:rsidP="00306DAA">
      <w:pPr>
        <w:pStyle w:val="ListParagraph"/>
        <w:ind w:left="1440"/>
        <w:rPr>
          <w:rFonts w:ascii="Times New Roman" w:eastAsia="Times New Roman" w:hAnsi="Times New Roman" w:cs="Times New Roman"/>
        </w:rPr>
      </w:pPr>
    </w:p>
    <w:p w14:paraId="529F0CAC" w14:textId="77777777" w:rsidR="00306DAA" w:rsidRDefault="00306DAA" w:rsidP="00C23CDB">
      <w:pPr>
        <w:pStyle w:val="ListParagraph"/>
        <w:numPr>
          <w:ilvl w:val="0"/>
          <w:numId w:val="17"/>
        </w:numPr>
        <w:rPr>
          <w:rFonts w:ascii="Times New Roman" w:eastAsia="Times New Roman" w:hAnsi="Times New Roman" w:cs="Times New Roman"/>
        </w:rPr>
      </w:pPr>
      <w:r>
        <w:rPr>
          <w:rFonts w:ascii="Times New Roman" w:eastAsia="Times New Roman" w:hAnsi="Times New Roman" w:cs="Times New Roman"/>
        </w:rPr>
        <w:t>The concept of cultural relativism, first developed by Franz Boas, means that each culture should be evaluated only by its own standards and not by the standards of the observer’s own culture, and this guides ethnographic thinking.</w:t>
      </w:r>
    </w:p>
    <w:p w14:paraId="3AB5F402" w14:textId="77777777" w:rsidR="00306DAA" w:rsidRPr="00B01C11" w:rsidRDefault="00306DAA" w:rsidP="00306DAA">
      <w:pPr>
        <w:rPr>
          <w:rFonts w:ascii="Times New Roman" w:eastAsia="Times New Roman" w:hAnsi="Times New Roman" w:cs="Times New Roman"/>
        </w:rPr>
      </w:pPr>
    </w:p>
    <w:p w14:paraId="715EBC2D" w14:textId="77777777" w:rsidR="00306DAA" w:rsidRDefault="00306DAA" w:rsidP="00C23CDB">
      <w:pPr>
        <w:pStyle w:val="ListParagraph"/>
        <w:numPr>
          <w:ilvl w:val="0"/>
          <w:numId w:val="17"/>
        </w:numPr>
        <w:rPr>
          <w:rFonts w:ascii="Times New Roman" w:eastAsia="Times New Roman" w:hAnsi="Times New Roman" w:cs="Times New Roman"/>
        </w:rPr>
      </w:pPr>
      <w:r>
        <w:rPr>
          <w:rFonts w:ascii="Times New Roman" w:eastAsia="Times New Roman" w:hAnsi="Times New Roman" w:cs="Times New Roman"/>
        </w:rPr>
        <w:t>Empathy, humility, openness, curiosity and the ability to separate yourself from your own cultural norms are all qualities that good ethnographic thinkers develop</w:t>
      </w:r>
    </w:p>
    <w:p w14:paraId="5A66072D" w14:textId="77777777" w:rsidR="00306DAA" w:rsidRDefault="00306DAA" w:rsidP="00306DAA">
      <w:pPr>
        <w:pStyle w:val="Heading2"/>
        <w:spacing w:before="0"/>
        <w:rPr>
          <w:color w:val="auto"/>
        </w:rPr>
      </w:pPr>
    </w:p>
    <w:p w14:paraId="172E3ADE" w14:textId="77777777" w:rsidR="00306DAA" w:rsidRDefault="00306DAA" w:rsidP="00306DAA">
      <w:pPr>
        <w:pStyle w:val="Heading2"/>
        <w:spacing w:before="0"/>
        <w:rPr>
          <w:color w:val="auto"/>
        </w:rPr>
      </w:pPr>
    </w:p>
    <w:p w14:paraId="6395113E" w14:textId="77777777" w:rsidR="00306DAA" w:rsidRPr="00B7293D" w:rsidRDefault="00306DAA" w:rsidP="00306DAA">
      <w:pPr>
        <w:pStyle w:val="Heading2"/>
        <w:spacing w:before="0"/>
        <w:rPr>
          <w:color w:val="auto"/>
        </w:rPr>
      </w:pPr>
      <w:r>
        <w:rPr>
          <w:color w:val="auto"/>
        </w:rPr>
        <w:t>Key Questions</w:t>
      </w:r>
    </w:p>
    <w:p w14:paraId="68C35302" w14:textId="77777777" w:rsidR="00306DAA" w:rsidRDefault="00306DAA" w:rsidP="00306DAA">
      <w:pPr>
        <w:rPr>
          <w:rFonts w:ascii="Times New Roman" w:eastAsia="Times New Roman" w:hAnsi="Times New Roman" w:cs="Times New Roman"/>
        </w:rPr>
      </w:pPr>
    </w:p>
    <w:p w14:paraId="28546B9D" w14:textId="77777777" w:rsidR="00306DAA" w:rsidRDefault="00306DAA" w:rsidP="00306DAA">
      <w:pPr>
        <w:ind w:firstLine="720"/>
        <w:rPr>
          <w:rFonts w:ascii="Times New Roman" w:eastAsia="Times New Roman" w:hAnsi="Times New Roman" w:cs="Times New Roman"/>
        </w:rPr>
      </w:pPr>
    </w:p>
    <w:p w14:paraId="49B1317D" w14:textId="77777777" w:rsidR="00306DAA" w:rsidRDefault="00306DAA" w:rsidP="00306DAA">
      <w:pPr>
        <w:ind w:firstLine="720"/>
        <w:rPr>
          <w:rFonts w:ascii="Times New Roman" w:eastAsia="Times New Roman" w:hAnsi="Times New Roman" w:cs="Times New Roman"/>
        </w:rPr>
      </w:pPr>
      <w:r>
        <w:rPr>
          <w:rFonts w:ascii="Times New Roman" w:eastAsia="Times New Roman" w:hAnsi="Times New Roman" w:cs="Times New Roman"/>
        </w:rPr>
        <w:t xml:space="preserve">1. What do you think are the benefits of conducting ethnographic research in the culture or community you are already part of? What are the challenges? </w:t>
      </w:r>
    </w:p>
    <w:p w14:paraId="2DC45EE1" w14:textId="77777777" w:rsidR="00306DAA" w:rsidRDefault="00306DAA" w:rsidP="00306DAA">
      <w:pPr>
        <w:ind w:firstLine="720"/>
        <w:rPr>
          <w:rFonts w:ascii="Times New Roman" w:eastAsia="Times New Roman" w:hAnsi="Times New Roman" w:cs="Times New Roman"/>
        </w:rPr>
      </w:pPr>
    </w:p>
    <w:p w14:paraId="6178A8BD" w14:textId="77777777" w:rsidR="00306DAA" w:rsidRDefault="00306DAA" w:rsidP="00306DAA">
      <w:pPr>
        <w:ind w:firstLine="720"/>
        <w:rPr>
          <w:rFonts w:ascii="Times New Roman" w:eastAsia="Times New Roman" w:hAnsi="Times New Roman" w:cs="Times New Roman"/>
        </w:rPr>
      </w:pPr>
      <w:r>
        <w:rPr>
          <w:rFonts w:ascii="Times New Roman" w:eastAsia="Times New Roman" w:hAnsi="Times New Roman" w:cs="Times New Roman"/>
        </w:rPr>
        <w:t>2. What do you think are the benefits of conducting ethnographic research in a culture or community that is different from the one you are part of? What are the challenges?</w:t>
      </w:r>
    </w:p>
    <w:p w14:paraId="6CEE540B" w14:textId="77777777" w:rsidR="00306DAA" w:rsidRDefault="00306DAA" w:rsidP="00306DAA">
      <w:pPr>
        <w:ind w:firstLine="720"/>
        <w:rPr>
          <w:rFonts w:ascii="Times New Roman" w:eastAsia="Times New Roman" w:hAnsi="Times New Roman" w:cs="Times New Roman"/>
        </w:rPr>
      </w:pPr>
    </w:p>
    <w:p w14:paraId="0E1B0DBB" w14:textId="77777777" w:rsidR="00306DAA" w:rsidRDefault="00306DAA" w:rsidP="00306DAA">
      <w:pPr>
        <w:ind w:firstLine="720"/>
        <w:rPr>
          <w:rFonts w:ascii="Times New Roman" w:eastAsia="Times New Roman" w:hAnsi="Times New Roman" w:cs="Times New Roman"/>
        </w:rPr>
      </w:pPr>
      <w:r>
        <w:rPr>
          <w:rFonts w:ascii="Times New Roman" w:eastAsia="Times New Roman" w:hAnsi="Times New Roman" w:cs="Times New Roman"/>
        </w:rPr>
        <w:t xml:space="preserve">3. Which quality do you think is most important in thinking like an ethnographer? Why did you select this one?  </w:t>
      </w:r>
    </w:p>
    <w:p w14:paraId="3EEA696B" w14:textId="77777777" w:rsidR="00306DAA" w:rsidRDefault="00306DAA" w:rsidP="00306DAA">
      <w:pPr>
        <w:ind w:firstLine="720"/>
        <w:rPr>
          <w:rFonts w:ascii="Times New Roman" w:eastAsia="Times New Roman" w:hAnsi="Times New Roman" w:cs="Times New Roman"/>
        </w:rPr>
      </w:pPr>
    </w:p>
    <w:p w14:paraId="41DB0756" w14:textId="77777777" w:rsidR="00306DAA" w:rsidRDefault="00306DAA" w:rsidP="00306DAA">
      <w:pPr>
        <w:ind w:firstLine="720"/>
        <w:rPr>
          <w:rFonts w:ascii="Times New Roman" w:eastAsia="Times New Roman" w:hAnsi="Times New Roman" w:cs="Times New Roman"/>
        </w:rPr>
      </w:pPr>
      <w:r>
        <w:rPr>
          <w:rFonts w:ascii="Times New Roman" w:eastAsia="Times New Roman" w:hAnsi="Times New Roman" w:cs="Times New Roman"/>
        </w:rPr>
        <w:t xml:space="preserve">4. Why can it be challenging to practice cultural relativism? </w:t>
      </w:r>
    </w:p>
    <w:p w14:paraId="0AB54370" w14:textId="77777777" w:rsidR="00306DAA" w:rsidRDefault="00306DAA" w:rsidP="00306DAA">
      <w:pPr>
        <w:rPr>
          <w:rFonts w:ascii="Times New Roman" w:eastAsia="Times New Roman" w:hAnsi="Times New Roman" w:cs="Times New Roman"/>
        </w:rPr>
      </w:pPr>
    </w:p>
    <w:p w14:paraId="66E8E751" w14:textId="77777777" w:rsidR="00306DAA" w:rsidRDefault="00306DAA" w:rsidP="00306DAA">
      <w:pPr>
        <w:ind w:firstLine="720"/>
        <w:rPr>
          <w:rFonts w:ascii="Times New Roman" w:eastAsia="Times New Roman" w:hAnsi="Times New Roman" w:cs="Times New Roman"/>
        </w:rPr>
      </w:pPr>
      <w:r>
        <w:rPr>
          <w:rFonts w:ascii="Times New Roman" w:eastAsia="Times New Roman" w:hAnsi="Times New Roman" w:cs="Times New Roman"/>
        </w:rPr>
        <w:t>5. How does thinking like an ethnographer help you collect different data than a survey, for example?</w:t>
      </w:r>
    </w:p>
    <w:p w14:paraId="0FFF0125" w14:textId="77777777" w:rsidR="00306DAA" w:rsidRDefault="00306DAA" w:rsidP="00306DAA">
      <w:pPr>
        <w:rPr>
          <w:rFonts w:ascii="Times New Roman" w:eastAsia="Times New Roman" w:hAnsi="Times New Roman" w:cs="Times New Roman"/>
        </w:rPr>
      </w:pPr>
    </w:p>
    <w:p w14:paraId="44DB9F70" w14:textId="77777777" w:rsidR="00306DAA" w:rsidRDefault="00306DAA" w:rsidP="00306DAA">
      <w:pPr>
        <w:ind w:firstLine="720"/>
        <w:rPr>
          <w:rFonts w:ascii="Times New Roman" w:eastAsia="Times New Roman" w:hAnsi="Times New Roman" w:cs="Times New Roman"/>
        </w:rPr>
      </w:pPr>
    </w:p>
    <w:p w14:paraId="388071F7" w14:textId="77777777" w:rsidR="00306DAA" w:rsidRDefault="00306DAA" w:rsidP="00306DAA">
      <w:pPr>
        <w:ind w:firstLine="720"/>
        <w:rPr>
          <w:rFonts w:ascii="Times New Roman" w:eastAsia="Times New Roman" w:hAnsi="Times New Roman" w:cs="Times New Roman"/>
        </w:rPr>
      </w:pPr>
    </w:p>
    <w:p w14:paraId="32A0E83F" w14:textId="77777777" w:rsidR="00306DAA" w:rsidRPr="00B7293D" w:rsidRDefault="00306DAA" w:rsidP="00306DAA">
      <w:pPr>
        <w:pStyle w:val="Heading2"/>
        <w:spacing w:before="0"/>
        <w:rPr>
          <w:color w:val="auto"/>
        </w:rPr>
      </w:pPr>
      <w:r>
        <w:rPr>
          <w:color w:val="auto"/>
        </w:rPr>
        <w:t>Key Terms</w:t>
      </w:r>
    </w:p>
    <w:p w14:paraId="61FA98B8" w14:textId="77777777" w:rsidR="00306DAA" w:rsidRDefault="00306DAA" w:rsidP="00306DAA">
      <w:pPr>
        <w:ind w:firstLine="720"/>
        <w:rPr>
          <w:rFonts w:ascii="Times New Roman" w:eastAsia="Times New Roman" w:hAnsi="Times New Roman" w:cs="Times New Roman"/>
        </w:rPr>
      </w:pPr>
    </w:p>
    <w:p w14:paraId="65C1B0E5" w14:textId="77777777" w:rsidR="00306DAA" w:rsidRDefault="00306DAA" w:rsidP="00C23CDB">
      <w:pPr>
        <w:pStyle w:val="ListParagraph"/>
        <w:numPr>
          <w:ilvl w:val="0"/>
          <w:numId w:val="18"/>
        </w:numPr>
        <w:rPr>
          <w:rFonts w:ascii="Times New Roman" w:eastAsia="Times New Roman" w:hAnsi="Times New Roman" w:cs="Times New Roman"/>
        </w:rPr>
      </w:pPr>
      <w:r w:rsidRPr="00646FCC">
        <w:rPr>
          <w:rFonts w:ascii="Times New Roman" w:eastAsia="Times New Roman" w:hAnsi="Times New Roman" w:cs="Times New Roman"/>
        </w:rPr>
        <w:t>Cultural Relativism</w:t>
      </w:r>
    </w:p>
    <w:p w14:paraId="52AC2A2A" w14:textId="77777777" w:rsidR="00306DAA" w:rsidRDefault="00306DAA" w:rsidP="00C23CDB">
      <w:pPr>
        <w:pStyle w:val="ListParagraph"/>
        <w:numPr>
          <w:ilvl w:val="0"/>
          <w:numId w:val="18"/>
        </w:numPr>
        <w:rPr>
          <w:rFonts w:ascii="Times New Roman" w:eastAsia="Times New Roman" w:hAnsi="Times New Roman" w:cs="Times New Roman"/>
        </w:rPr>
      </w:pPr>
      <w:r w:rsidRPr="00646FCC">
        <w:rPr>
          <w:rFonts w:ascii="Times New Roman" w:eastAsia="Times New Roman" w:hAnsi="Times New Roman" w:cs="Times New Roman"/>
        </w:rPr>
        <w:t>Ethnocentrism</w:t>
      </w:r>
    </w:p>
    <w:p w14:paraId="31DA7975" w14:textId="77777777" w:rsidR="00306DAA" w:rsidRDefault="00306DAA" w:rsidP="00C23CDB">
      <w:pPr>
        <w:pStyle w:val="ListParagraph"/>
        <w:numPr>
          <w:ilvl w:val="0"/>
          <w:numId w:val="18"/>
        </w:numPr>
        <w:rPr>
          <w:rFonts w:ascii="Times New Roman" w:eastAsia="Times New Roman" w:hAnsi="Times New Roman" w:cs="Times New Roman"/>
        </w:rPr>
      </w:pPr>
      <w:r w:rsidRPr="00646FCC">
        <w:rPr>
          <w:rFonts w:ascii="Times New Roman" w:eastAsia="Times New Roman" w:hAnsi="Times New Roman" w:cs="Times New Roman"/>
        </w:rPr>
        <w:t>Cultural Norms</w:t>
      </w:r>
    </w:p>
    <w:p w14:paraId="25723C12" w14:textId="77777777" w:rsidR="00306DAA" w:rsidRDefault="00306DAA" w:rsidP="00C23CDB">
      <w:pPr>
        <w:pStyle w:val="ListParagraph"/>
        <w:numPr>
          <w:ilvl w:val="0"/>
          <w:numId w:val="18"/>
        </w:numPr>
        <w:rPr>
          <w:rFonts w:ascii="Times New Roman" w:eastAsia="Times New Roman" w:hAnsi="Times New Roman" w:cs="Times New Roman"/>
        </w:rPr>
      </w:pPr>
      <w:r w:rsidRPr="00646FCC">
        <w:rPr>
          <w:rFonts w:ascii="Times New Roman" w:eastAsia="Times New Roman" w:hAnsi="Times New Roman" w:cs="Times New Roman"/>
        </w:rPr>
        <w:t>Immersion</w:t>
      </w:r>
    </w:p>
    <w:p w14:paraId="2A774BB8" w14:textId="77777777" w:rsidR="00306DAA" w:rsidRDefault="00306DAA" w:rsidP="00C23CDB">
      <w:pPr>
        <w:pStyle w:val="ListParagraph"/>
        <w:numPr>
          <w:ilvl w:val="0"/>
          <w:numId w:val="18"/>
        </w:numPr>
        <w:rPr>
          <w:rFonts w:ascii="Times New Roman" w:eastAsia="Times New Roman" w:hAnsi="Times New Roman" w:cs="Times New Roman"/>
        </w:rPr>
      </w:pPr>
      <w:r w:rsidRPr="00646FCC">
        <w:rPr>
          <w:rFonts w:ascii="Times New Roman" w:eastAsia="Times New Roman" w:hAnsi="Times New Roman" w:cs="Times New Roman"/>
        </w:rPr>
        <w:t>Empathy</w:t>
      </w:r>
    </w:p>
    <w:p w14:paraId="3DA088C4" w14:textId="77777777" w:rsidR="00306DAA" w:rsidRDefault="00306DAA" w:rsidP="00C23CDB">
      <w:pPr>
        <w:pStyle w:val="ListParagraph"/>
        <w:numPr>
          <w:ilvl w:val="0"/>
          <w:numId w:val="18"/>
        </w:numPr>
        <w:rPr>
          <w:rFonts w:ascii="Times New Roman" w:eastAsia="Times New Roman" w:hAnsi="Times New Roman" w:cs="Times New Roman"/>
        </w:rPr>
      </w:pPr>
      <w:r w:rsidRPr="00646FCC">
        <w:rPr>
          <w:rFonts w:ascii="Times New Roman" w:eastAsia="Times New Roman" w:hAnsi="Times New Roman" w:cs="Times New Roman"/>
        </w:rPr>
        <w:t>Western/Non-Western</w:t>
      </w:r>
    </w:p>
    <w:p w14:paraId="52ABA683" w14:textId="77777777" w:rsidR="00306DAA" w:rsidRPr="00646FCC" w:rsidRDefault="00306DAA" w:rsidP="00306DAA">
      <w:pPr>
        <w:pStyle w:val="ListParagraph"/>
        <w:ind w:left="1440"/>
        <w:rPr>
          <w:rFonts w:ascii="Times New Roman" w:eastAsia="Times New Roman" w:hAnsi="Times New Roman" w:cs="Times New Roman"/>
        </w:rPr>
      </w:pPr>
    </w:p>
    <w:p w14:paraId="1E1FCB3B" w14:textId="77777777" w:rsidR="00306DAA" w:rsidRPr="00B7293D" w:rsidRDefault="00306DAA" w:rsidP="00306DAA">
      <w:pPr>
        <w:pStyle w:val="Heading2"/>
        <w:spacing w:before="0"/>
        <w:rPr>
          <w:color w:val="auto"/>
        </w:rPr>
      </w:pPr>
      <w:r>
        <w:rPr>
          <w:color w:val="auto"/>
        </w:rPr>
        <w:t>Resources</w:t>
      </w:r>
    </w:p>
    <w:p w14:paraId="44C44F87" w14:textId="77777777" w:rsidR="00306DAA" w:rsidRDefault="00306DAA" w:rsidP="00306DAA">
      <w:pPr>
        <w:ind w:firstLine="720"/>
        <w:rPr>
          <w:rFonts w:ascii="Times New Roman" w:eastAsia="Times New Roman" w:hAnsi="Times New Roman" w:cs="Times New Roman"/>
        </w:rPr>
      </w:pPr>
    </w:p>
    <w:p w14:paraId="3A2BD79E" w14:textId="77777777" w:rsidR="00306DAA" w:rsidRPr="00701639" w:rsidRDefault="00605712" w:rsidP="00306DAA">
      <w:pPr>
        <w:rPr>
          <w:rFonts w:ascii="Times" w:eastAsia="Times New Roman" w:hAnsi="Times" w:cs="Times New Roman"/>
          <w:sz w:val="20"/>
          <w:szCs w:val="20"/>
        </w:rPr>
      </w:pPr>
      <w:hyperlink r:id="rId27" w:history="1">
        <w:r w:rsidR="00306DAA" w:rsidRPr="00701639">
          <w:rPr>
            <w:rFonts w:ascii="Times" w:eastAsia="Times New Roman" w:hAnsi="Times" w:cs="Times New Roman"/>
            <w:color w:val="0000FF"/>
            <w:sz w:val="20"/>
            <w:szCs w:val="20"/>
            <w:u w:val="single"/>
          </w:rPr>
          <w:t>https://www.ted.com/talks/tricia_wang_the_human_insights_missing_from_big_data/transcript</w:t>
        </w:r>
      </w:hyperlink>
    </w:p>
    <w:p w14:paraId="3EFB9F9E" w14:textId="77777777" w:rsidR="00306DAA" w:rsidRDefault="00306DAA" w:rsidP="00306DAA">
      <w:pPr>
        <w:rPr>
          <w:rFonts w:ascii="Times" w:eastAsia="Times New Roman" w:hAnsi="Times" w:cs="Times New Roman"/>
          <w:sz w:val="20"/>
          <w:szCs w:val="20"/>
        </w:rPr>
      </w:pPr>
    </w:p>
    <w:p w14:paraId="5627345B" w14:textId="77777777" w:rsidR="00306DAA" w:rsidRPr="00CA3815" w:rsidRDefault="00605712" w:rsidP="00306DAA">
      <w:pPr>
        <w:rPr>
          <w:rFonts w:ascii="Times" w:eastAsia="Times New Roman" w:hAnsi="Times" w:cs="Times New Roman"/>
          <w:sz w:val="20"/>
          <w:szCs w:val="20"/>
        </w:rPr>
      </w:pPr>
      <w:hyperlink r:id="rId28" w:history="1">
        <w:r w:rsidR="00306DAA" w:rsidRPr="00CA3815">
          <w:rPr>
            <w:rFonts w:ascii="Times" w:eastAsia="Times New Roman" w:hAnsi="Times" w:cs="Times New Roman"/>
            <w:color w:val="0000FF"/>
            <w:sz w:val="20"/>
            <w:szCs w:val="20"/>
            <w:u w:val="single"/>
          </w:rPr>
          <w:t>https://blog.simonassociates.net/podcast/043-jay-hasbrouck-thinking-like-an-anthropologist</w:t>
        </w:r>
      </w:hyperlink>
    </w:p>
    <w:p w14:paraId="39107D99" w14:textId="77777777" w:rsidR="00306DAA" w:rsidRPr="00B7293D" w:rsidRDefault="00306DAA" w:rsidP="00306DAA">
      <w:pPr>
        <w:ind w:firstLine="720"/>
        <w:rPr>
          <w:rFonts w:ascii="Times New Roman" w:eastAsia="Times New Roman" w:hAnsi="Times New Roman" w:cs="Times New Roman"/>
        </w:rPr>
      </w:pPr>
      <w:r>
        <w:rPr>
          <w:rFonts w:ascii="Times New Roman" w:eastAsia="Times New Roman" w:hAnsi="Times New Roman" w:cs="Times New Roman"/>
        </w:rPr>
        <w:t xml:space="preserve"> </w:t>
      </w:r>
    </w:p>
    <w:p w14:paraId="4E179EA8" w14:textId="48AF17B2" w:rsidR="00306DAA" w:rsidRDefault="00306DAA">
      <w:r>
        <w:br w:type="page"/>
      </w:r>
    </w:p>
    <w:p w14:paraId="43383D56" w14:textId="77777777" w:rsidR="00306DAA" w:rsidRPr="0020229F" w:rsidRDefault="00306DAA" w:rsidP="00306DAA">
      <w:pPr>
        <w:pStyle w:val="Heading1"/>
        <w:spacing w:before="0"/>
        <w:jc w:val="center"/>
        <w:rPr>
          <w:rFonts w:ascii="Times New Roman" w:hAnsi="Times New Roman" w:cs="Times New Roman"/>
        </w:rPr>
      </w:pPr>
      <w:r w:rsidRPr="0020229F">
        <w:rPr>
          <w:rFonts w:ascii="Times New Roman" w:hAnsi="Times New Roman" w:cs="Times New Roman"/>
        </w:rPr>
        <w:lastRenderedPageBreak/>
        <w:t>Autoethnography</w:t>
      </w:r>
    </w:p>
    <w:p w14:paraId="5F95F07F" w14:textId="77777777" w:rsidR="00306DAA" w:rsidRPr="0020229F" w:rsidRDefault="00306DAA" w:rsidP="00306DAA">
      <w:pPr>
        <w:jc w:val="center"/>
        <w:rPr>
          <w:rFonts w:ascii="Times New Roman" w:eastAsia="Times New Roman" w:hAnsi="Times New Roman" w:cs="Times New Roman"/>
        </w:rPr>
      </w:pPr>
      <w:r w:rsidRPr="0020229F">
        <w:rPr>
          <w:rFonts w:ascii="Times New Roman" w:eastAsia="Times New Roman" w:hAnsi="Times New Roman" w:cs="Times New Roman"/>
        </w:rPr>
        <w:t xml:space="preserve">Alia </w:t>
      </w:r>
      <w:proofErr w:type="spellStart"/>
      <w:proofErr w:type="gramStart"/>
      <w:r w:rsidRPr="0020229F">
        <w:rPr>
          <w:rFonts w:ascii="Times New Roman" w:eastAsia="Times New Roman" w:hAnsi="Times New Roman" w:cs="Times New Roman"/>
        </w:rPr>
        <w:t>R.Tyner</w:t>
      </w:r>
      <w:proofErr w:type="spellEnd"/>
      <w:proofErr w:type="gramEnd"/>
      <w:r w:rsidRPr="0020229F">
        <w:rPr>
          <w:rFonts w:ascii="Times New Roman" w:eastAsia="Times New Roman" w:hAnsi="Times New Roman" w:cs="Times New Roman"/>
        </w:rPr>
        <w:t>-Mullings</w:t>
      </w:r>
    </w:p>
    <w:p w14:paraId="16381354" w14:textId="77777777" w:rsidR="00306DAA" w:rsidRPr="0020229F" w:rsidRDefault="00306DAA" w:rsidP="00306DAA">
      <w:pPr>
        <w:rPr>
          <w:rFonts w:ascii="Times New Roman" w:eastAsia="Times New Roman" w:hAnsi="Times New Roman" w:cs="Times New Roman"/>
        </w:rPr>
      </w:pPr>
    </w:p>
    <w:p w14:paraId="004A332B" w14:textId="0B80EC61" w:rsidR="00306DAA" w:rsidRPr="0020229F" w:rsidRDefault="00306DAA" w:rsidP="00306DAA">
      <w:pPr>
        <w:shd w:val="clear" w:color="auto" w:fill="FFFFFF"/>
        <w:ind w:firstLine="720"/>
        <w:rPr>
          <w:rFonts w:ascii="Times New Roman" w:eastAsia="Times New Roman" w:hAnsi="Times New Roman" w:cs="Times New Roman"/>
        </w:rPr>
      </w:pPr>
      <w:r>
        <w:rPr>
          <w:rFonts w:ascii="Times New Roman" w:eastAsia="Times New Roman" w:hAnsi="Times New Roman" w:cs="Times New Roman"/>
        </w:rPr>
        <w:t xml:space="preserve">While it is an ethnographic method on its own, an </w:t>
      </w:r>
      <w:r w:rsidRPr="003A043B">
        <w:rPr>
          <w:rFonts w:ascii="Times New Roman" w:eastAsia="Times New Roman" w:hAnsi="Times New Roman" w:cs="Times New Roman"/>
          <w:b/>
          <w:bCs/>
        </w:rPr>
        <w:t>autoethnography</w:t>
      </w:r>
      <w:r>
        <w:rPr>
          <w:rFonts w:ascii="Times New Roman" w:eastAsia="Times New Roman" w:hAnsi="Times New Roman" w:cs="Times New Roman"/>
        </w:rPr>
        <w:t xml:space="preserve"> can also be a good place to begin a</w:t>
      </w:r>
      <w:r w:rsidRPr="0020229F">
        <w:rPr>
          <w:rFonts w:ascii="Times New Roman" w:eastAsia="Times New Roman" w:hAnsi="Times New Roman" w:cs="Times New Roman"/>
        </w:rPr>
        <w:t>n ethnographic investigation</w:t>
      </w:r>
      <w:r>
        <w:rPr>
          <w:rFonts w:ascii="Times New Roman" w:eastAsia="Times New Roman" w:hAnsi="Times New Roman" w:cs="Times New Roman"/>
        </w:rPr>
        <w:t>.</w:t>
      </w:r>
      <w:r w:rsidRPr="0020229F">
        <w:rPr>
          <w:rFonts w:ascii="Times New Roman" w:eastAsia="Times New Roman" w:hAnsi="Times New Roman" w:cs="Times New Roman"/>
        </w:rPr>
        <w:t xml:space="preserve"> </w:t>
      </w:r>
      <w:r>
        <w:rPr>
          <w:rFonts w:ascii="Times New Roman" w:eastAsia="Times New Roman" w:hAnsi="Times New Roman" w:cs="Times New Roman"/>
        </w:rPr>
        <w:t>Through it, you</w:t>
      </w:r>
      <w:r w:rsidRPr="0020229F">
        <w:rPr>
          <w:rFonts w:ascii="Times New Roman" w:eastAsia="Times New Roman" w:hAnsi="Times New Roman" w:cs="Times New Roman"/>
        </w:rPr>
        <w:t xml:space="preserve"> can begin to situate </w:t>
      </w:r>
      <w:r>
        <w:rPr>
          <w:rFonts w:ascii="Times New Roman" w:eastAsia="Times New Roman" w:hAnsi="Times New Roman" w:cs="Times New Roman"/>
        </w:rPr>
        <w:t>yourself</w:t>
      </w:r>
      <w:r w:rsidRPr="0020229F">
        <w:rPr>
          <w:rFonts w:ascii="Times New Roman" w:eastAsia="Times New Roman" w:hAnsi="Times New Roman" w:cs="Times New Roman"/>
        </w:rPr>
        <w:t xml:space="preserve"> within the larger structural and social </w:t>
      </w:r>
      <w:r>
        <w:rPr>
          <w:rFonts w:ascii="Times New Roman" w:eastAsia="Times New Roman" w:hAnsi="Times New Roman" w:cs="Times New Roman"/>
        </w:rPr>
        <w:t>system.</w:t>
      </w:r>
      <w:r w:rsidRPr="0020229F">
        <w:rPr>
          <w:rFonts w:ascii="Times New Roman" w:eastAsia="Times New Roman" w:hAnsi="Times New Roman" w:cs="Times New Roman"/>
        </w:rPr>
        <w:t xml:space="preserve"> It allows you to explore your own </w:t>
      </w:r>
      <w:r w:rsidRPr="00FD716D">
        <w:rPr>
          <w:rFonts w:ascii="Times New Roman" w:eastAsia="Times New Roman" w:hAnsi="Times New Roman" w:cs="Times New Roman"/>
          <w:bCs/>
        </w:rPr>
        <w:t>positionality</w:t>
      </w:r>
      <w:r w:rsidRPr="0020229F">
        <w:rPr>
          <w:rFonts w:ascii="Times New Roman" w:eastAsia="Times New Roman" w:hAnsi="Times New Roman" w:cs="Times New Roman"/>
        </w:rPr>
        <w:t xml:space="preserve"> before you begin to examine the lives of others</w:t>
      </w:r>
      <w:r>
        <w:rPr>
          <w:rFonts w:ascii="Times New Roman" w:eastAsia="Times New Roman" w:hAnsi="Times New Roman" w:cs="Times New Roman"/>
        </w:rPr>
        <w:t xml:space="preserve"> as a</w:t>
      </w:r>
      <w:r w:rsidRPr="0020229F">
        <w:rPr>
          <w:rFonts w:ascii="Times New Roman" w:eastAsia="Times New Roman" w:hAnsi="Times New Roman" w:cs="Times New Roman"/>
        </w:rPr>
        <w:t xml:space="preserve">n </w:t>
      </w:r>
      <w:proofErr w:type="spellStart"/>
      <w:r w:rsidRPr="0020229F">
        <w:rPr>
          <w:rFonts w:ascii="Times New Roman" w:eastAsia="Times New Roman" w:hAnsi="Times New Roman" w:cs="Times New Roman"/>
        </w:rPr>
        <w:t>autothenography</w:t>
      </w:r>
      <w:proofErr w:type="spellEnd"/>
      <w:r w:rsidRPr="0020229F">
        <w:rPr>
          <w:rFonts w:ascii="Times New Roman" w:eastAsia="Times New Roman" w:hAnsi="Times New Roman" w:cs="Times New Roman"/>
        </w:rPr>
        <w:t xml:space="preserve"> is a way to turn ethnography on yourself and to learn about your life in the same way you might learn about someone else's. The process of creating an autoethnography allows you to be reflective on what makes you who you are and how you came to be. Through this process, an </w:t>
      </w:r>
      <w:proofErr w:type="spellStart"/>
      <w:r w:rsidRPr="0020229F">
        <w:rPr>
          <w:rFonts w:ascii="Times New Roman" w:eastAsia="Times New Roman" w:hAnsi="Times New Roman" w:cs="Times New Roman"/>
        </w:rPr>
        <w:t>authoethnography</w:t>
      </w:r>
      <w:proofErr w:type="spellEnd"/>
      <w:r w:rsidRPr="0020229F">
        <w:rPr>
          <w:rFonts w:ascii="Times New Roman" w:eastAsia="Times New Roman" w:hAnsi="Times New Roman" w:cs="Times New Roman"/>
        </w:rPr>
        <w:t xml:space="preserve"> can also help you to look at the larger context </w:t>
      </w:r>
      <w:r>
        <w:rPr>
          <w:rFonts w:ascii="Times New Roman" w:eastAsia="Times New Roman" w:hAnsi="Times New Roman" w:cs="Times New Roman"/>
        </w:rPr>
        <w:t>in which</w:t>
      </w:r>
      <w:r w:rsidRPr="0020229F">
        <w:rPr>
          <w:rFonts w:ascii="Times New Roman" w:eastAsia="Times New Roman" w:hAnsi="Times New Roman" w:cs="Times New Roman"/>
        </w:rPr>
        <w:t xml:space="preserve"> you </w:t>
      </w:r>
      <w:r>
        <w:rPr>
          <w:rFonts w:ascii="Times New Roman" w:eastAsia="Times New Roman" w:hAnsi="Times New Roman" w:cs="Times New Roman"/>
        </w:rPr>
        <w:t>live.</w:t>
      </w:r>
      <w:r w:rsidRPr="0020229F">
        <w:rPr>
          <w:rFonts w:ascii="Times New Roman" w:eastAsia="Times New Roman" w:hAnsi="Times New Roman" w:cs="Times New Roman"/>
        </w:rPr>
        <w:t xml:space="preserve"> </w:t>
      </w:r>
      <w:r>
        <w:rPr>
          <w:rStyle w:val="FootnoteReference"/>
          <w:rFonts w:ascii="Times New Roman" w:eastAsia="Times New Roman" w:hAnsi="Times New Roman" w:cs="Times New Roman"/>
        </w:rPr>
        <w:footnoteReference w:id="1"/>
      </w:r>
    </w:p>
    <w:p w14:paraId="3999AE32"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Autoethnography is an approach to research and writing that seeks to describe and systematically analyze (</w:t>
      </w:r>
      <w:proofErr w:type="spellStart"/>
      <w:r w:rsidRPr="0020229F">
        <w:rPr>
          <w:rFonts w:ascii="Times New Roman" w:eastAsia="Times New Roman" w:hAnsi="Times New Roman" w:cs="Times New Roman"/>
        </w:rPr>
        <w:t>graphy</w:t>
      </w:r>
      <w:proofErr w:type="spellEnd"/>
      <w:r w:rsidRPr="0020229F">
        <w:rPr>
          <w:rFonts w:ascii="Times New Roman" w:eastAsia="Times New Roman" w:hAnsi="Times New Roman" w:cs="Times New Roman"/>
        </w:rPr>
        <w:t>) personal experience (auto) in order to understand cultural experience (</w:t>
      </w:r>
      <w:proofErr w:type="spellStart"/>
      <w:r w:rsidRPr="0020229F">
        <w:rPr>
          <w:rFonts w:ascii="Times New Roman" w:eastAsia="Times New Roman" w:hAnsi="Times New Roman" w:cs="Times New Roman"/>
        </w:rPr>
        <w:t>ethno</w:t>
      </w:r>
      <w:proofErr w:type="spellEnd"/>
      <w:r w:rsidRPr="0020229F">
        <w:rPr>
          <w:rFonts w:ascii="Times New Roman" w:eastAsia="Times New Roman" w:hAnsi="Times New Roman" w:cs="Times New Roman"/>
        </w:rPr>
        <w:t>) (</w:t>
      </w:r>
      <w:r>
        <w:rPr>
          <w:rFonts w:ascii="Times New Roman" w:eastAsia="Times New Roman" w:hAnsi="Times New Roman" w:cs="Times New Roman"/>
        </w:rPr>
        <w:t>Ellis</w:t>
      </w:r>
      <w:r w:rsidRPr="0020229F">
        <w:rPr>
          <w:rFonts w:ascii="Times New Roman" w:eastAsia="Times New Roman" w:hAnsi="Times New Roman" w:cs="Times New Roman"/>
        </w:rPr>
        <w:t xml:space="preserve">, 2004; </w:t>
      </w:r>
      <w:r>
        <w:rPr>
          <w:rFonts w:ascii="Times New Roman" w:eastAsia="Times New Roman" w:hAnsi="Times New Roman" w:cs="Times New Roman"/>
        </w:rPr>
        <w:t>Holman</w:t>
      </w:r>
      <w:r w:rsidRPr="0020229F">
        <w:rPr>
          <w:rFonts w:ascii="Times New Roman" w:eastAsia="Times New Roman" w:hAnsi="Times New Roman" w:cs="Times New Roman"/>
        </w:rPr>
        <w:t xml:space="preserve"> </w:t>
      </w:r>
      <w:r>
        <w:rPr>
          <w:rFonts w:ascii="Times New Roman" w:eastAsia="Times New Roman" w:hAnsi="Times New Roman" w:cs="Times New Roman"/>
        </w:rPr>
        <w:t>Jones</w:t>
      </w:r>
      <w:r w:rsidRPr="0020229F">
        <w:rPr>
          <w:rFonts w:ascii="Times New Roman" w:eastAsia="Times New Roman" w:hAnsi="Times New Roman" w:cs="Times New Roman"/>
        </w:rPr>
        <w:t xml:space="preserve">, 2005). This approach challenges </w:t>
      </w:r>
      <w:r w:rsidRPr="00FD716D">
        <w:rPr>
          <w:rFonts w:ascii="Times New Roman" w:eastAsia="Times New Roman" w:hAnsi="Times New Roman" w:cs="Times New Roman"/>
          <w:bCs/>
        </w:rPr>
        <w:t>canonical</w:t>
      </w:r>
      <w:r w:rsidRPr="0020229F">
        <w:rPr>
          <w:rFonts w:ascii="Times New Roman" w:eastAsia="Times New Roman" w:hAnsi="Times New Roman" w:cs="Times New Roman"/>
        </w:rPr>
        <w:t xml:space="preserve"> ways of doing research and representing others (</w:t>
      </w:r>
      <w:r>
        <w:rPr>
          <w:rFonts w:ascii="Times New Roman" w:eastAsia="Times New Roman" w:hAnsi="Times New Roman" w:cs="Times New Roman"/>
        </w:rPr>
        <w:t>Spry</w:t>
      </w:r>
      <w:r w:rsidRPr="0020229F">
        <w:rPr>
          <w:rFonts w:ascii="Times New Roman" w:eastAsia="Times New Roman" w:hAnsi="Times New Roman" w:cs="Times New Roman"/>
        </w:rPr>
        <w:t xml:space="preserve">, 2001) and treats research as a political, socially-just and </w:t>
      </w:r>
      <w:proofErr w:type="gramStart"/>
      <w:r w:rsidRPr="0020229F">
        <w:rPr>
          <w:rFonts w:ascii="Times New Roman" w:eastAsia="Times New Roman" w:hAnsi="Times New Roman" w:cs="Times New Roman"/>
        </w:rPr>
        <w:t>socially-conscious</w:t>
      </w:r>
      <w:proofErr w:type="gramEnd"/>
      <w:r w:rsidRPr="0020229F">
        <w:rPr>
          <w:rFonts w:ascii="Times New Roman" w:eastAsia="Times New Roman" w:hAnsi="Times New Roman" w:cs="Times New Roman"/>
        </w:rPr>
        <w:t xml:space="preserve"> act (</w:t>
      </w:r>
      <w:r>
        <w:rPr>
          <w:rFonts w:ascii="Times New Roman" w:eastAsia="Times New Roman" w:hAnsi="Times New Roman" w:cs="Times New Roman"/>
        </w:rPr>
        <w:t>Adams</w:t>
      </w:r>
      <w:r w:rsidRPr="0020229F">
        <w:rPr>
          <w:rFonts w:ascii="Times New Roman" w:eastAsia="Times New Roman" w:hAnsi="Times New Roman" w:cs="Times New Roman"/>
        </w:rPr>
        <w:t xml:space="preserve"> &amp; </w:t>
      </w:r>
      <w:r>
        <w:rPr>
          <w:rFonts w:ascii="Times New Roman" w:eastAsia="Times New Roman" w:hAnsi="Times New Roman" w:cs="Times New Roman"/>
        </w:rPr>
        <w:t>Holman Jones</w:t>
      </w:r>
      <w:r w:rsidRPr="0020229F">
        <w:rPr>
          <w:rFonts w:ascii="Times New Roman" w:eastAsia="Times New Roman" w:hAnsi="Times New Roman" w:cs="Times New Roman"/>
        </w:rPr>
        <w:t>, 2008). A researcher uses tenets of autobiography and ethnography to do and write autoethnography. Thus, as a method, autoethnography is both process and product.</w:t>
      </w:r>
      <w:r>
        <w:rPr>
          <w:rStyle w:val="FootnoteReference"/>
          <w:rFonts w:ascii="Times New Roman" w:eastAsia="Times New Roman" w:hAnsi="Times New Roman" w:cs="Times New Roman"/>
        </w:rPr>
        <w:footnoteReference w:id="2"/>
      </w:r>
    </w:p>
    <w:p w14:paraId="57BC8922" w14:textId="77777777" w:rsidR="00306DAA" w:rsidRPr="0020229F" w:rsidRDefault="00306DAA" w:rsidP="00306DAA">
      <w:pPr>
        <w:shd w:val="clear" w:color="auto" w:fill="FFFFFF"/>
        <w:rPr>
          <w:rFonts w:ascii="Times New Roman" w:eastAsia="Times New Roman" w:hAnsi="Times New Roman" w:cs="Times New Roman"/>
        </w:rPr>
      </w:pPr>
    </w:p>
    <w:p w14:paraId="76E5C4D3" w14:textId="77777777" w:rsidR="00306DAA" w:rsidRPr="0020229F" w:rsidRDefault="00306DAA" w:rsidP="00306DAA">
      <w:pPr>
        <w:pStyle w:val="Heading2"/>
        <w:spacing w:before="0"/>
        <w:rPr>
          <w:rFonts w:ascii="Times New Roman" w:hAnsi="Times New Roman" w:cs="Times New Roman"/>
        </w:rPr>
      </w:pPr>
      <w:r w:rsidRPr="0020229F">
        <w:rPr>
          <w:rFonts w:ascii="Times New Roman" w:hAnsi="Times New Roman" w:cs="Times New Roman"/>
        </w:rPr>
        <w:t>History of Autoethnography</w:t>
      </w:r>
    </w:p>
    <w:p w14:paraId="67BCCCEF"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So how did autoethnography come to be?  In the 1980s, scholars introduced new and abundant opportunities to reform social science and reconceive the objectives and forms of social science inquiry. Scholars became increasingly troubled by social science's </w:t>
      </w:r>
      <w:r w:rsidRPr="00FD716D">
        <w:rPr>
          <w:rFonts w:ascii="Times New Roman" w:eastAsia="Times New Roman" w:hAnsi="Times New Roman" w:cs="Times New Roman"/>
          <w:bCs/>
        </w:rPr>
        <w:t>ontological</w:t>
      </w:r>
      <w:r w:rsidRPr="00FD716D">
        <w:rPr>
          <w:rFonts w:ascii="Times New Roman" w:eastAsia="Times New Roman" w:hAnsi="Times New Roman" w:cs="Times New Roman"/>
        </w:rPr>
        <w:t xml:space="preserve">, </w:t>
      </w:r>
      <w:r w:rsidRPr="00FD716D">
        <w:rPr>
          <w:rFonts w:ascii="Times New Roman" w:eastAsia="Times New Roman" w:hAnsi="Times New Roman" w:cs="Times New Roman"/>
          <w:bCs/>
        </w:rPr>
        <w:t>epistemological</w:t>
      </w:r>
      <w:r w:rsidRPr="00FD716D">
        <w:rPr>
          <w:rFonts w:ascii="Times New Roman" w:eastAsia="Times New Roman" w:hAnsi="Times New Roman" w:cs="Times New Roman"/>
        </w:rPr>
        <w:t xml:space="preserve">, and </w:t>
      </w:r>
      <w:r w:rsidRPr="00FD716D">
        <w:rPr>
          <w:rFonts w:ascii="Times New Roman" w:eastAsia="Times New Roman" w:hAnsi="Times New Roman" w:cs="Times New Roman"/>
          <w:bCs/>
        </w:rPr>
        <w:t>axiological</w:t>
      </w:r>
      <w:r w:rsidRPr="0020229F">
        <w:rPr>
          <w:rFonts w:ascii="Times New Roman" w:eastAsia="Times New Roman" w:hAnsi="Times New Roman" w:cs="Times New Roman"/>
        </w:rPr>
        <w:t xml:space="preserve"> limitations (</w:t>
      </w:r>
      <w:r>
        <w:rPr>
          <w:rFonts w:ascii="Times New Roman" w:eastAsia="Times New Roman" w:hAnsi="Times New Roman" w:cs="Times New Roman"/>
        </w:rPr>
        <w:t>Ellis</w:t>
      </w:r>
      <w:r w:rsidRPr="0020229F">
        <w:rPr>
          <w:rFonts w:ascii="Times New Roman" w:eastAsia="Times New Roman" w:hAnsi="Times New Roman" w:cs="Times New Roman"/>
        </w:rPr>
        <w:t xml:space="preserve"> &amp; </w:t>
      </w:r>
      <w:proofErr w:type="spellStart"/>
      <w:r>
        <w:rPr>
          <w:rFonts w:ascii="Times New Roman" w:eastAsia="Times New Roman" w:hAnsi="Times New Roman" w:cs="Times New Roman"/>
        </w:rPr>
        <w:t>Bochner</w:t>
      </w:r>
      <w:proofErr w:type="spellEnd"/>
      <w:r w:rsidRPr="0020229F">
        <w:rPr>
          <w:rFonts w:ascii="Times New Roman" w:eastAsia="Times New Roman" w:hAnsi="Times New Roman" w:cs="Times New Roman"/>
        </w:rPr>
        <w:t>, 2000). Furthermore, there was an increasing need to resist colonialist, sterile research impulses of authoritatively entering a culture, exploiting cultural members, and then recklessly leaving to write about the culture for monetary and/or professional gain, while disregarding relational ties to cultural members (</w:t>
      </w:r>
      <w:proofErr w:type="spellStart"/>
      <w:r>
        <w:rPr>
          <w:rFonts w:ascii="Times New Roman" w:eastAsia="Times New Roman" w:hAnsi="Times New Roman" w:cs="Times New Roman"/>
        </w:rPr>
        <w:t>Conquergood</w:t>
      </w:r>
      <w:proofErr w:type="spellEnd"/>
      <w:r w:rsidRPr="0020229F">
        <w:rPr>
          <w:rFonts w:ascii="Times New Roman" w:eastAsia="Times New Roman" w:hAnsi="Times New Roman" w:cs="Times New Roman"/>
        </w:rPr>
        <w:t xml:space="preserve">, 1991; </w:t>
      </w:r>
      <w:r>
        <w:rPr>
          <w:rFonts w:ascii="Times New Roman" w:eastAsia="Times New Roman" w:hAnsi="Times New Roman" w:cs="Times New Roman"/>
        </w:rPr>
        <w:t>Ellis</w:t>
      </w:r>
      <w:r w:rsidRPr="0020229F">
        <w:rPr>
          <w:rFonts w:ascii="Times New Roman" w:eastAsia="Times New Roman" w:hAnsi="Times New Roman" w:cs="Times New Roman"/>
        </w:rPr>
        <w:t xml:space="preserve">, 2007; </w:t>
      </w:r>
      <w:proofErr w:type="spellStart"/>
      <w:r>
        <w:rPr>
          <w:rFonts w:ascii="Times New Roman" w:eastAsia="Times New Roman" w:hAnsi="Times New Roman" w:cs="Times New Roman"/>
        </w:rPr>
        <w:t>Riedmann</w:t>
      </w:r>
      <w:proofErr w:type="spellEnd"/>
      <w:r w:rsidRPr="0020229F">
        <w:rPr>
          <w:rFonts w:ascii="Times New Roman" w:eastAsia="Times New Roman" w:hAnsi="Times New Roman" w:cs="Times New Roman"/>
        </w:rPr>
        <w:t>, 1993).</w:t>
      </w:r>
    </w:p>
    <w:p w14:paraId="510ED772"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Gradually, scholars across a wide spectrum of disciplines began to consider what social sciences would become if they were closer to literature than to physics, if they proffered stories rather than theories, and if they were self-consciously </w:t>
      </w:r>
      <w:r w:rsidRPr="005E11F4">
        <w:rPr>
          <w:rFonts w:ascii="Times New Roman" w:eastAsia="Times New Roman" w:hAnsi="Times New Roman" w:cs="Times New Roman"/>
          <w:b/>
        </w:rPr>
        <w:t>value-centered</w:t>
      </w:r>
      <w:r w:rsidRPr="0020229F">
        <w:rPr>
          <w:rFonts w:ascii="Times New Roman" w:eastAsia="Times New Roman" w:hAnsi="Times New Roman" w:cs="Times New Roman"/>
        </w:rPr>
        <w:t xml:space="preserve"> rather than pretending to be value free (</w:t>
      </w:r>
      <w:proofErr w:type="spellStart"/>
      <w:r>
        <w:rPr>
          <w:rFonts w:ascii="Times New Roman" w:eastAsia="Times New Roman" w:hAnsi="Times New Roman" w:cs="Times New Roman"/>
        </w:rPr>
        <w:t>Bochner</w:t>
      </w:r>
      <w:proofErr w:type="spellEnd"/>
      <w:r w:rsidRPr="0020229F">
        <w:rPr>
          <w:rFonts w:ascii="Times New Roman" w:eastAsia="Times New Roman" w:hAnsi="Times New Roman" w:cs="Times New Roman"/>
        </w:rPr>
        <w:t>, 1994). Many of these scholars turned to autoethnography because they were seeking a positive response to critiques of canonical ideas about what research is and how research should be done. In particular, they wanted to concentrate on ways of producing meaningful, accessible, and evocative research grounded in personal experience, research that would sensitize readers to issues of identity politics, to experiences shrouded in silence, and to forms of representation that deepen our capacity to empathize with people who are different from us (</w:t>
      </w:r>
      <w:r>
        <w:rPr>
          <w:rFonts w:ascii="Times New Roman" w:eastAsia="Times New Roman" w:hAnsi="Times New Roman" w:cs="Times New Roman"/>
        </w:rPr>
        <w:t>Ellis</w:t>
      </w:r>
      <w:r w:rsidRPr="0020229F">
        <w:rPr>
          <w:rFonts w:ascii="Times New Roman" w:eastAsia="Times New Roman" w:hAnsi="Times New Roman" w:cs="Times New Roman"/>
        </w:rPr>
        <w:t xml:space="preserve"> &amp; </w:t>
      </w:r>
      <w:proofErr w:type="spellStart"/>
      <w:r>
        <w:rPr>
          <w:rFonts w:ascii="Times New Roman" w:eastAsia="Times New Roman" w:hAnsi="Times New Roman" w:cs="Times New Roman"/>
        </w:rPr>
        <w:t>Bochner</w:t>
      </w:r>
      <w:proofErr w:type="spellEnd"/>
      <w:r w:rsidRPr="0020229F">
        <w:rPr>
          <w:rFonts w:ascii="Times New Roman" w:eastAsia="Times New Roman" w:hAnsi="Times New Roman" w:cs="Times New Roman"/>
        </w:rPr>
        <w:t xml:space="preserve">, 2000). </w:t>
      </w:r>
      <w:proofErr w:type="spellStart"/>
      <w:r w:rsidRPr="0020229F">
        <w:rPr>
          <w:rFonts w:ascii="Times New Roman" w:eastAsia="Times New Roman" w:hAnsi="Times New Roman" w:cs="Times New Roman"/>
        </w:rPr>
        <w:t>Autoethnographers</w:t>
      </w:r>
      <w:proofErr w:type="spellEnd"/>
      <w:r w:rsidRPr="0020229F">
        <w:rPr>
          <w:rFonts w:ascii="Times New Roman" w:eastAsia="Times New Roman" w:hAnsi="Times New Roman" w:cs="Times New Roman"/>
        </w:rPr>
        <w:t xml:space="preserve"> recognize the innumerable ways personal experience influences the research process. For instance, a researcher decides who, what, when, where, and how to research, decisions necessarily tied to institutional requirements (e.g., Institutional Review Boards), resources (e.g., funding), and personal circumstance (e.g., a researcher studying cancer because of personal experience with cancer). A researcher may also </w:t>
      </w:r>
      <w:r w:rsidRPr="0020229F">
        <w:rPr>
          <w:rFonts w:ascii="Times New Roman" w:eastAsia="Times New Roman" w:hAnsi="Times New Roman" w:cs="Times New Roman"/>
        </w:rPr>
        <w:lastRenderedPageBreak/>
        <w:t>change names and places for protection (</w:t>
      </w:r>
      <w:r>
        <w:rPr>
          <w:rFonts w:ascii="Times New Roman" w:eastAsia="Times New Roman" w:hAnsi="Times New Roman" w:cs="Times New Roman"/>
        </w:rPr>
        <w:t>Fine</w:t>
      </w:r>
      <w:r w:rsidRPr="0020229F">
        <w:rPr>
          <w:rFonts w:ascii="Times New Roman" w:eastAsia="Times New Roman" w:hAnsi="Times New Roman" w:cs="Times New Roman"/>
        </w:rPr>
        <w:t xml:space="preserve">, 1993), compress years of research into a single text, and construct a study in a pre-determined way (e.g., using an introduction, literature review, methods section, findings, and conclusion; </w:t>
      </w:r>
      <w:r>
        <w:rPr>
          <w:rFonts w:ascii="Times New Roman" w:eastAsia="Times New Roman" w:hAnsi="Times New Roman" w:cs="Times New Roman"/>
        </w:rPr>
        <w:t>Tullis Owen</w:t>
      </w:r>
      <w:r w:rsidRPr="0020229F">
        <w:rPr>
          <w:rFonts w:ascii="Times New Roman" w:eastAsia="Times New Roman" w:hAnsi="Times New Roman" w:cs="Times New Roman"/>
        </w:rPr>
        <w:t xml:space="preserve">, </w:t>
      </w:r>
      <w:r>
        <w:rPr>
          <w:rFonts w:ascii="Times New Roman" w:eastAsia="Times New Roman" w:hAnsi="Times New Roman" w:cs="Times New Roman"/>
        </w:rPr>
        <w:t>McRae, Adams &amp; Vitale</w:t>
      </w:r>
      <w:r w:rsidRPr="0020229F">
        <w:rPr>
          <w:rFonts w:ascii="Times New Roman" w:eastAsia="Times New Roman" w:hAnsi="Times New Roman" w:cs="Times New Roman"/>
        </w:rPr>
        <w:t>, 2009). Even though some researchers still assume that research can be done from a neutral, impersonal, and objective stance (</w:t>
      </w:r>
      <w:r>
        <w:rPr>
          <w:rFonts w:ascii="Times New Roman" w:eastAsia="Times New Roman" w:hAnsi="Times New Roman" w:cs="Times New Roman"/>
        </w:rPr>
        <w:t>Atkinson</w:t>
      </w:r>
      <w:r w:rsidRPr="0020229F">
        <w:rPr>
          <w:rFonts w:ascii="Times New Roman" w:eastAsia="Times New Roman" w:hAnsi="Times New Roman" w:cs="Times New Roman"/>
        </w:rPr>
        <w:t xml:space="preserve">, 1997; </w:t>
      </w:r>
      <w:proofErr w:type="spellStart"/>
      <w:r>
        <w:rPr>
          <w:rFonts w:ascii="Times New Roman" w:eastAsia="Times New Roman" w:hAnsi="Times New Roman" w:cs="Times New Roman"/>
        </w:rPr>
        <w:t>Buzard</w:t>
      </w:r>
      <w:proofErr w:type="spellEnd"/>
      <w:r w:rsidRPr="0020229F">
        <w:rPr>
          <w:rFonts w:ascii="Times New Roman" w:eastAsia="Times New Roman" w:hAnsi="Times New Roman" w:cs="Times New Roman"/>
        </w:rPr>
        <w:t xml:space="preserve">, 2003; </w:t>
      </w:r>
      <w:r>
        <w:rPr>
          <w:rFonts w:ascii="Times New Roman" w:eastAsia="Times New Roman" w:hAnsi="Times New Roman" w:cs="Times New Roman"/>
        </w:rPr>
        <w:t>Delamont</w:t>
      </w:r>
      <w:r w:rsidRPr="0020229F">
        <w:rPr>
          <w:rFonts w:ascii="Times New Roman" w:eastAsia="Times New Roman" w:hAnsi="Times New Roman" w:cs="Times New Roman"/>
        </w:rPr>
        <w:t>, 2009), most now recognize that such an assumption is not tenable (</w:t>
      </w:r>
      <w:proofErr w:type="spellStart"/>
      <w:r>
        <w:rPr>
          <w:rFonts w:ascii="Times New Roman" w:eastAsia="Times New Roman" w:hAnsi="Times New Roman" w:cs="Times New Roman"/>
        </w:rPr>
        <w:t>Bochner</w:t>
      </w:r>
      <w:proofErr w:type="spellEnd"/>
      <w:r w:rsidRPr="0020229F">
        <w:rPr>
          <w:rFonts w:ascii="Times New Roman" w:eastAsia="Times New Roman" w:hAnsi="Times New Roman" w:cs="Times New Roman"/>
        </w:rPr>
        <w:t xml:space="preserve">, 2002; </w:t>
      </w:r>
      <w:r>
        <w:rPr>
          <w:rFonts w:ascii="Times New Roman" w:eastAsia="Times New Roman" w:hAnsi="Times New Roman" w:cs="Times New Roman"/>
        </w:rPr>
        <w:t>Denzin &amp; Lincoln</w:t>
      </w:r>
      <w:r w:rsidRPr="0020229F">
        <w:rPr>
          <w:rFonts w:ascii="Times New Roman" w:eastAsia="Times New Roman" w:hAnsi="Times New Roman" w:cs="Times New Roman"/>
        </w:rPr>
        <w:t xml:space="preserve">, 2000; </w:t>
      </w:r>
      <w:proofErr w:type="spellStart"/>
      <w:r>
        <w:rPr>
          <w:rFonts w:ascii="Times New Roman" w:eastAsia="Times New Roman" w:hAnsi="Times New Roman" w:cs="Times New Roman"/>
        </w:rPr>
        <w:t>Rorty</w:t>
      </w:r>
      <w:proofErr w:type="spellEnd"/>
      <w:r w:rsidRPr="0020229F">
        <w:rPr>
          <w:rFonts w:ascii="Times New Roman" w:eastAsia="Times New Roman" w:hAnsi="Times New Roman" w:cs="Times New Roman"/>
        </w:rPr>
        <w:t>, 1982). Consequently, autoethnography is one of the approaches that acknowledges and accommodates subjectivity, emotionality, and the researcher's influence on research, rather than hiding from these matters or assuming they don't exist.</w:t>
      </w:r>
    </w:p>
    <w:p w14:paraId="416C1C76" w14:textId="77777777" w:rsidR="00306DAA"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Furthermore, scholars began recognizing that different kinds of people possess different assumptions about the world—a multitude of ways of speaking, writing, valuing and believing—and that conventional ways of doing and thinking about research were narrow, limiting, and parochial. These differences can stem from race (</w:t>
      </w:r>
      <w:r>
        <w:rPr>
          <w:rFonts w:ascii="Times New Roman" w:eastAsia="Times New Roman" w:hAnsi="Times New Roman" w:cs="Times New Roman"/>
        </w:rPr>
        <w:t>Anzaldúa</w:t>
      </w:r>
      <w:r w:rsidRPr="0020229F">
        <w:rPr>
          <w:rFonts w:ascii="Times New Roman" w:eastAsia="Times New Roman" w:hAnsi="Times New Roman" w:cs="Times New Roman"/>
        </w:rPr>
        <w:t xml:space="preserve">, 1987; </w:t>
      </w:r>
      <w:proofErr w:type="spellStart"/>
      <w:r>
        <w:rPr>
          <w:rFonts w:ascii="Times New Roman" w:eastAsia="Times New Roman" w:hAnsi="Times New Roman" w:cs="Times New Roman"/>
        </w:rPr>
        <w:t>Boylorn</w:t>
      </w:r>
      <w:proofErr w:type="spellEnd"/>
      <w:r w:rsidRPr="0020229F">
        <w:rPr>
          <w:rFonts w:ascii="Times New Roman" w:eastAsia="Times New Roman" w:hAnsi="Times New Roman" w:cs="Times New Roman"/>
        </w:rPr>
        <w:t xml:space="preserve">, 2006; </w:t>
      </w:r>
      <w:r>
        <w:rPr>
          <w:rFonts w:ascii="Times New Roman" w:eastAsia="Times New Roman" w:hAnsi="Times New Roman" w:cs="Times New Roman"/>
        </w:rPr>
        <w:t>Davis</w:t>
      </w:r>
      <w:r w:rsidRPr="0020229F">
        <w:rPr>
          <w:rFonts w:ascii="Times New Roman" w:eastAsia="Times New Roman" w:hAnsi="Times New Roman" w:cs="Times New Roman"/>
        </w:rPr>
        <w:t>, 2009), gender (</w:t>
      </w:r>
      <w:r>
        <w:rPr>
          <w:rFonts w:ascii="Times New Roman" w:eastAsia="Times New Roman" w:hAnsi="Times New Roman" w:cs="Times New Roman"/>
        </w:rPr>
        <w:t>Blair, Brown &amp; Baxter</w:t>
      </w:r>
      <w:r w:rsidRPr="0020229F">
        <w:rPr>
          <w:rFonts w:ascii="Times New Roman" w:eastAsia="Times New Roman" w:hAnsi="Times New Roman" w:cs="Times New Roman"/>
        </w:rPr>
        <w:t xml:space="preserve">, 1994; </w:t>
      </w:r>
      <w:r>
        <w:rPr>
          <w:rFonts w:ascii="Times New Roman" w:eastAsia="Times New Roman" w:hAnsi="Times New Roman" w:cs="Times New Roman"/>
        </w:rPr>
        <w:t>Keller</w:t>
      </w:r>
      <w:r w:rsidRPr="0020229F">
        <w:rPr>
          <w:rFonts w:ascii="Times New Roman" w:eastAsia="Times New Roman" w:hAnsi="Times New Roman" w:cs="Times New Roman"/>
        </w:rPr>
        <w:t>, 1995), sexuality (</w:t>
      </w:r>
      <w:r>
        <w:rPr>
          <w:rFonts w:ascii="Times New Roman" w:eastAsia="Times New Roman" w:hAnsi="Times New Roman" w:cs="Times New Roman"/>
        </w:rPr>
        <w:t>Foster</w:t>
      </w:r>
      <w:r w:rsidRPr="0020229F">
        <w:rPr>
          <w:rFonts w:ascii="Times New Roman" w:eastAsia="Times New Roman" w:hAnsi="Times New Roman" w:cs="Times New Roman"/>
        </w:rPr>
        <w:t xml:space="preserve">, 2008; </w:t>
      </w:r>
      <w:proofErr w:type="spellStart"/>
      <w:r>
        <w:rPr>
          <w:rFonts w:ascii="Times New Roman" w:eastAsia="Times New Roman" w:hAnsi="Times New Roman" w:cs="Times New Roman"/>
        </w:rPr>
        <w:t>Glave</w:t>
      </w:r>
      <w:proofErr w:type="spellEnd"/>
      <w:r w:rsidRPr="0020229F">
        <w:rPr>
          <w:rFonts w:ascii="Times New Roman" w:eastAsia="Times New Roman" w:hAnsi="Times New Roman" w:cs="Times New Roman"/>
        </w:rPr>
        <w:t>, 2005), age (</w:t>
      </w:r>
      <w:proofErr w:type="spellStart"/>
      <w:r>
        <w:rPr>
          <w:rFonts w:ascii="Times New Roman" w:eastAsia="Times New Roman" w:hAnsi="Times New Roman" w:cs="Times New Roman"/>
        </w:rPr>
        <w:t>Dossa</w:t>
      </w:r>
      <w:proofErr w:type="spellEnd"/>
      <w:r w:rsidRPr="0020229F">
        <w:rPr>
          <w:rFonts w:ascii="Times New Roman" w:eastAsia="Times New Roman" w:hAnsi="Times New Roman" w:cs="Times New Roman"/>
        </w:rPr>
        <w:t xml:space="preserve">, 1999; </w:t>
      </w:r>
      <w:r>
        <w:rPr>
          <w:rFonts w:ascii="Times New Roman" w:eastAsia="Times New Roman" w:hAnsi="Times New Roman" w:cs="Times New Roman"/>
        </w:rPr>
        <w:t>Paulson</w:t>
      </w:r>
      <w:r w:rsidRPr="0020229F">
        <w:rPr>
          <w:rFonts w:ascii="Times New Roman" w:eastAsia="Times New Roman" w:hAnsi="Times New Roman" w:cs="Times New Roman"/>
        </w:rPr>
        <w:t xml:space="preserve"> &amp; </w:t>
      </w:r>
      <w:proofErr w:type="spellStart"/>
      <w:r>
        <w:rPr>
          <w:rFonts w:ascii="Times New Roman" w:eastAsia="Times New Roman" w:hAnsi="Times New Roman" w:cs="Times New Roman"/>
        </w:rPr>
        <w:t>Willig</w:t>
      </w:r>
      <w:proofErr w:type="spellEnd"/>
      <w:r w:rsidRPr="0020229F">
        <w:rPr>
          <w:rFonts w:ascii="Times New Roman" w:eastAsia="Times New Roman" w:hAnsi="Times New Roman" w:cs="Times New Roman"/>
        </w:rPr>
        <w:t>, 2008), ability (</w:t>
      </w:r>
      <w:proofErr w:type="spellStart"/>
      <w:r>
        <w:rPr>
          <w:rFonts w:ascii="Times New Roman" w:eastAsia="Times New Roman" w:hAnsi="Times New Roman" w:cs="Times New Roman"/>
        </w:rPr>
        <w:t>Couser</w:t>
      </w:r>
      <w:proofErr w:type="spellEnd"/>
      <w:r w:rsidRPr="0020229F">
        <w:rPr>
          <w:rFonts w:ascii="Times New Roman" w:eastAsia="Times New Roman" w:hAnsi="Times New Roman" w:cs="Times New Roman"/>
        </w:rPr>
        <w:t xml:space="preserve">, 1997; </w:t>
      </w:r>
      <w:r>
        <w:rPr>
          <w:rFonts w:ascii="Times New Roman" w:eastAsia="Times New Roman" w:hAnsi="Times New Roman" w:cs="Times New Roman"/>
        </w:rPr>
        <w:t>Gerber</w:t>
      </w:r>
      <w:r w:rsidRPr="0020229F">
        <w:rPr>
          <w:rFonts w:ascii="Times New Roman" w:eastAsia="Times New Roman" w:hAnsi="Times New Roman" w:cs="Times New Roman"/>
        </w:rPr>
        <w:t>, 1996), class (</w:t>
      </w:r>
      <w:r>
        <w:rPr>
          <w:rFonts w:ascii="Times New Roman" w:eastAsia="Times New Roman" w:hAnsi="Times New Roman" w:cs="Times New Roman"/>
        </w:rPr>
        <w:t>Hooks</w:t>
      </w:r>
      <w:r w:rsidRPr="0020229F">
        <w:rPr>
          <w:rFonts w:ascii="Times New Roman" w:eastAsia="Times New Roman" w:hAnsi="Times New Roman" w:cs="Times New Roman"/>
        </w:rPr>
        <w:t xml:space="preserve">, 2000; </w:t>
      </w:r>
      <w:proofErr w:type="spellStart"/>
      <w:r>
        <w:rPr>
          <w:rFonts w:ascii="Times New Roman" w:eastAsia="Times New Roman" w:hAnsi="Times New Roman" w:cs="Times New Roman"/>
        </w:rPr>
        <w:t>Dykins</w:t>
      </w:r>
      <w:proofErr w:type="spellEnd"/>
      <w:r w:rsidRPr="0020229F">
        <w:rPr>
          <w:rFonts w:ascii="Times New Roman" w:eastAsia="Times New Roman" w:hAnsi="Times New Roman" w:cs="Times New Roman"/>
        </w:rPr>
        <w:t xml:space="preserve"> </w:t>
      </w:r>
      <w:r>
        <w:rPr>
          <w:rFonts w:ascii="Times New Roman" w:eastAsia="Times New Roman" w:hAnsi="Times New Roman" w:cs="Times New Roman"/>
        </w:rPr>
        <w:t>Callahan</w:t>
      </w:r>
      <w:r w:rsidRPr="0020229F">
        <w:rPr>
          <w:rFonts w:ascii="Times New Roman" w:eastAsia="Times New Roman" w:hAnsi="Times New Roman" w:cs="Times New Roman"/>
        </w:rPr>
        <w:t>, 2008), education (</w:t>
      </w:r>
      <w:proofErr w:type="spellStart"/>
      <w:r>
        <w:rPr>
          <w:rFonts w:ascii="Times New Roman" w:eastAsia="Times New Roman" w:hAnsi="Times New Roman" w:cs="Times New Roman"/>
        </w:rPr>
        <w:t>Delpit</w:t>
      </w:r>
      <w:proofErr w:type="spellEnd"/>
      <w:r w:rsidRPr="0020229F">
        <w:rPr>
          <w:rFonts w:ascii="Times New Roman" w:eastAsia="Times New Roman" w:hAnsi="Times New Roman" w:cs="Times New Roman"/>
        </w:rPr>
        <w:t xml:space="preserve">, 1996; </w:t>
      </w:r>
      <w:r>
        <w:rPr>
          <w:rFonts w:ascii="Times New Roman" w:eastAsia="Times New Roman" w:hAnsi="Times New Roman" w:cs="Times New Roman"/>
        </w:rPr>
        <w:t>Valenzuela</w:t>
      </w:r>
      <w:r w:rsidRPr="0020229F">
        <w:rPr>
          <w:rFonts w:ascii="Times New Roman" w:eastAsia="Times New Roman" w:hAnsi="Times New Roman" w:cs="Times New Roman"/>
        </w:rPr>
        <w:t>, 1999), or religion (</w:t>
      </w:r>
      <w:proofErr w:type="spellStart"/>
      <w:r>
        <w:rPr>
          <w:rFonts w:ascii="Times New Roman" w:eastAsia="Times New Roman" w:hAnsi="Times New Roman" w:cs="Times New Roman"/>
        </w:rPr>
        <w:t>Droogsma</w:t>
      </w:r>
      <w:proofErr w:type="spellEnd"/>
      <w:r w:rsidRPr="0020229F">
        <w:rPr>
          <w:rFonts w:ascii="Times New Roman" w:eastAsia="Times New Roman" w:hAnsi="Times New Roman" w:cs="Times New Roman"/>
        </w:rPr>
        <w:t xml:space="preserve">, 2007; </w:t>
      </w:r>
      <w:proofErr w:type="spellStart"/>
      <w:r>
        <w:rPr>
          <w:rFonts w:ascii="Times New Roman" w:eastAsia="Times New Roman" w:hAnsi="Times New Roman" w:cs="Times New Roman"/>
        </w:rPr>
        <w:t>Minkowitz</w:t>
      </w:r>
      <w:proofErr w:type="spellEnd"/>
      <w:r w:rsidRPr="0020229F">
        <w:rPr>
          <w:rFonts w:ascii="Times New Roman" w:eastAsia="Times New Roman" w:hAnsi="Times New Roman" w:cs="Times New Roman"/>
        </w:rPr>
        <w:t xml:space="preserve">, 1995). Often, those who advocate and insist on canonical forms of doing and writing research are advocating a White, masculine, heterosexual, middle/upper-classed, Christian, </w:t>
      </w:r>
      <w:r>
        <w:rPr>
          <w:rFonts w:ascii="Times New Roman" w:eastAsia="Times New Roman" w:hAnsi="Times New Roman" w:cs="Times New Roman"/>
        </w:rPr>
        <w:t>cis-gendered and able-bodied</w:t>
      </w:r>
      <w:r w:rsidRPr="0020229F">
        <w:rPr>
          <w:rFonts w:ascii="Times New Roman" w:eastAsia="Times New Roman" w:hAnsi="Times New Roman" w:cs="Times New Roman"/>
        </w:rPr>
        <w:t xml:space="preserve"> perspective. Following these conventions, a researcher not only disregards other ways of knowing but also implies that other ways are unsatisfactory and invalid. Autoethnography, on the other hand, expands and opens up a wider lens on the world, eschewing rigid definitions of what constitutes meaningful and useful research; this approach also helps us understand how the kinds of people we claim, or are perceived, to be influence interpretations of what we study, how we study it, and what we say about our topic (</w:t>
      </w:r>
      <w:r>
        <w:rPr>
          <w:rFonts w:ascii="Times New Roman" w:eastAsia="Times New Roman" w:hAnsi="Times New Roman" w:cs="Times New Roman"/>
        </w:rPr>
        <w:t>Adams</w:t>
      </w:r>
      <w:r w:rsidRPr="0020229F">
        <w:rPr>
          <w:rFonts w:ascii="Times New Roman" w:eastAsia="Times New Roman" w:hAnsi="Times New Roman" w:cs="Times New Roman"/>
        </w:rPr>
        <w:t xml:space="preserve">, 2005; </w:t>
      </w:r>
      <w:r>
        <w:rPr>
          <w:rFonts w:ascii="Times New Roman" w:eastAsia="Times New Roman" w:hAnsi="Times New Roman" w:cs="Times New Roman"/>
        </w:rPr>
        <w:t>Wood</w:t>
      </w:r>
      <w:r w:rsidRPr="0020229F">
        <w:rPr>
          <w:rFonts w:ascii="Times New Roman" w:eastAsia="Times New Roman" w:hAnsi="Times New Roman" w:cs="Times New Roman"/>
        </w:rPr>
        <w:t>, 2009).</w:t>
      </w:r>
    </w:p>
    <w:p w14:paraId="6B8CB1DB" w14:textId="77777777" w:rsidR="00306DAA" w:rsidRPr="0020229F" w:rsidRDefault="00306DAA" w:rsidP="00306DAA">
      <w:pPr>
        <w:shd w:val="clear" w:color="auto" w:fill="FFFFFF"/>
        <w:ind w:firstLine="720"/>
        <w:rPr>
          <w:rFonts w:ascii="Times New Roman" w:eastAsia="Times New Roman" w:hAnsi="Times New Roman" w:cs="Times New Roman"/>
        </w:rPr>
      </w:pPr>
    </w:p>
    <w:p w14:paraId="0F901A58" w14:textId="77777777" w:rsidR="00306DAA" w:rsidRPr="0020229F" w:rsidRDefault="00306DAA" w:rsidP="00306DAA">
      <w:pPr>
        <w:pStyle w:val="Heading2"/>
        <w:spacing w:before="0"/>
        <w:rPr>
          <w:rFonts w:ascii="Times New Roman" w:hAnsi="Times New Roman" w:cs="Times New Roman"/>
        </w:rPr>
      </w:pPr>
      <w:r w:rsidRPr="0020229F">
        <w:rPr>
          <w:rFonts w:ascii="Times New Roman" w:hAnsi="Times New Roman" w:cs="Times New Roman"/>
        </w:rPr>
        <w:t>The Structure of Autoethnographies</w:t>
      </w:r>
    </w:p>
    <w:p w14:paraId="264F5825"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As described above, autoethnography combines characteristics of autobiography and ethnography and</w:t>
      </w:r>
      <w:r>
        <w:rPr>
          <w:rFonts w:ascii="Times New Roman" w:eastAsia="Times New Roman" w:hAnsi="Times New Roman" w:cs="Times New Roman"/>
        </w:rPr>
        <w:t xml:space="preserve"> in</w:t>
      </w:r>
      <w:r w:rsidRPr="0020229F">
        <w:rPr>
          <w:rFonts w:ascii="Times New Roman" w:eastAsia="Times New Roman" w:hAnsi="Times New Roman" w:cs="Times New Roman"/>
        </w:rPr>
        <w:t xml:space="preserve"> writing an autobiography, an author retroactively and selectively writes about past experiences. Usually, the author does not live through these experiences solely to make them part of a published document; rather, these experiences are assembled using hindsight (</w:t>
      </w:r>
      <w:r>
        <w:rPr>
          <w:rFonts w:ascii="Times New Roman" w:eastAsia="Times New Roman" w:hAnsi="Times New Roman" w:cs="Times New Roman"/>
        </w:rPr>
        <w:t>Bruner</w:t>
      </w:r>
      <w:r w:rsidRPr="0020229F">
        <w:rPr>
          <w:rFonts w:ascii="Times New Roman" w:eastAsia="Times New Roman" w:hAnsi="Times New Roman" w:cs="Times New Roman"/>
        </w:rPr>
        <w:t xml:space="preserve">, 1993; </w:t>
      </w:r>
      <w:r>
        <w:rPr>
          <w:rFonts w:ascii="Times New Roman" w:eastAsia="Times New Roman" w:hAnsi="Times New Roman" w:cs="Times New Roman"/>
        </w:rPr>
        <w:t>Denzin</w:t>
      </w:r>
      <w:r w:rsidRPr="0020229F">
        <w:rPr>
          <w:rFonts w:ascii="Times New Roman" w:eastAsia="Times New Roman" w:hAnsi="Times New Roman" w:cs="Times New Roman"/>
        </w:rPr>
        <w:t>, 1989, Freeman, 2004). In writing, the author also may interview others as well as consult with texts like photographs, journals, and recordings to help with recall (</w:t>
      </w:r>
      <w:r>
        <w:rPr>
          <w:rFonts w:ascii="Times New Roman" w:eastAsia="Times New Roman" w:hAnsi="Times New Roman" w:cs="Times New Roman"/>
        </w:rPr>
        <w:t>Delany</w:t>
      </w:r>
      <w:r w:rsidRPr="0020229F">
        <w:rPr>
          <w:rFonts w:ascii="Times New Roman" w:eastAsia="Times New Roman" w:hAnsi="Times New Roman" w:cs="Times New Roman"/>
        </w:rPr>
        <w:t xml:space="preserve">, 2004; </w:t>
      </w:r>
      <w:r>
        <w:rPr>
          <w:rFonts w:ascii="Times New Roman" w:eastAsia="Times New Roman" w:hAnsi="Times New Roman" w:cs="Times New Roman"/>
        </w:rPr>
        <w:t>Didion</w:t>
      </w:r>
      <w:r w:rsidRPr="0020229F">
        <w:rPr>
          <w:rFonts w:ascii="Times New Roman" w:eastAsia="Times New Roman" w:hAnsi="Times New Roman" w:cs="Times New Roman"/>
        </w:rPr>
        <w:t xml:space="preserve">, 2005; </w:t>
      </w:r>
      <w:r>
        <w:rPr>
          <w:rFonts w:ascii="Times New Roman" w:eastAsia="Times New Roman" w:hAnsi="Times New Roman" w:cs="Times New Roman"/>
        </w:rPr>
        <w:t>Goodall</w:t>
      </w:r>
      <w:r w:rsidRPr="0020229F">
        <w:rPr>
          <w:rFonts w:ascii="Times New Roman" w:eastAsia="Times New Roman" w:hAnsi="Times New Roman" w:cs="Times New Roman"/>
        </w:rPr>
        <w:t xml:space="preserve">, 2006; </w:t>
      </w:r>
      <w:r>
        <w:rPr>
          <w:rFonts w:ascii="Times New Roman" w:eastAsia="Times New Roman" w:hAnsi="Times New Roman" w:cs="Times New Roman"/>
        </w:rPr>
        <w:t>Herrmann</w:t>
      </w:r>
      <w:r w:rsidRPr="0020229F">
        <w:rPr>
          <w:rFonts w:ascii="Times New Roman" w:eastAsia="Times New Roman" w:hAnsi="Times New Roman" w:cs="Times New Roman"/>
        </w:rPr>
        <w:t>, 2005).</w:t>
      </w:r>
    </w:p>
    <w:p w14:paraId="4CF5436E"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Most often, autobiographers write about </w:t>
      </w:r>
      <w:r w:rsidRPr="00BB6E5B">
        <w:rPr>
          <w:rFonts w:ascii="Times New Roman" w:eastAsia="Times New Roman" w:hAnsi="Times New Roman" w:cs="Times New Roman"/>
          <w:b/>
        </w:rPr>
        <w:t>"epiphanies"</w:t>
      </w:r>
      <w:r w:rsidRPr="0020229F">
        <w:rPr>
          <w:rFonts w:ascii="Times New Roman" w:eastAsia="Times New Roman" w:hAnsi="Times New Roman" w:cs="Times New Roman"/>
        </w:rPr>
        <w:t>—remembered moments perceived to have significantly impacted the trajectory of a person's life (</w:t>
      </w:r>
      <w:proofErr w:type="spellStart"/>
      <w:r>
        <w:rPr>
          <w:rFonts w:ascii="Times New Roman" w:eastAsia="Times New Roman" w:hAnsi="Times New Roman" w:cs="Times New Roman"/>
        </w:rPr>
        <w:t>Bochner</w:t>
      </w:r>
      <w:proofErr w:type="spellEnd"/>
      <w:r w:rsidRPr="0020229F">
        <w:rPr>
          <w:rFonts w:ascii="Times New Roman" w:eastAsia="Times New Roman" w:hAnsi="Times New Roman" w:cs="Times New Roman"/>
        </w:rPr>
        <w:t xml:space="preserve"> &amp; </w:t>
      </w:r>
      <w:r>
        <w:rPr>
          <w:rFonts w:ascii="Times New Roman" w:eastAsia="Times New Roman" w:hAnsi="Times New Roman" w:cs="Times New Roman"/>
        </w:rPr>
        <w:t>Ellis</w:t>
      </w:r>
      <w:r w:rsidRPr="0020229F">
        <w:rPr>
          <w:rFonts w:ascii="Times New Roman" w:eastAsia="Times New Roman" w:hAnsi="Times New Roman" w:cs="Times New Roman"/>
        </w:rPr>
        <w:t xml:space="preserve">, 1992; </w:t>
      </w:r>
      <w:proofErr w:type="spellStart"/>
      <w:r>
        <w:rPr>
          <w:rFonts w:ascii="Times New Roman" w:eastAsia="Times New Roman" w:hAnsi="Times New Roman" w:cs="Times New Roman"/>
        </w:rPr>
        <w:t>Couser</w:t>
      </w:r>
      <w:proofErr w:type="spellEnd"/>
      <w:r w:rsidRPr="0020229F">
        <w:rPr>
          <w:rFonts w:ascii="Times New Roman" w:eastAsia="Times New Roman" w:hAnsi="Times New Roman" w:cs="Times New Roman"/>
        </w:rPr>
        <w:t xml:space="preserve">, 1997; </w:t>
      </w:r>
      <w:r>
        <w:rPr>
          <w:rFonts w:ascii="Times New Roman" w:eastAsia="Times New Roman" w:hAnsi="Times New Roman" w:cs="Times New Roman"/>
        </w:rPr>
        <w:t>Denzin</w:t>
      </w:r>
      <w:r w:rsidRPr="0020229F">
        <w:rPr>
          <w:rFonts w:ascii="Times New Roman" w:eastAsia="Times New Roman" w:hAnsi="Times New Roman" w:cs="Times New Roman"/>
        </w:rPr>
        <w:t>, 1989), times of existential crises that forced a person to attend to and analyze lived experience (</w:t>
      </w:r>
      <w:proofErr w:type="spellStart"/>
      <w:r>
        <w:rPr>
          <w:rFonts w:ascii="Times New Roman" w:eastAsia="Times New Roman" w:hAnsi="Times New Roman" w:cs="Times New Roman"/>
        </w:rPr>
        <w:t>Zaner</w:t>
      </w:r>
      <w:proofErr w:type="spellEnd"/>
      <w:r w:rsidRPr="0020229F">
        <w:rPr>
          <w:rFonts w:ascii="Times New Roman" w:eastAsia="Times New Roman" w:hAnsi="Times New Roman" w:cs="Times New Roman"/>
        </w:rPr>
        <w:t>, 2004), and events after which life does not seem quite the same. While epiphanies are self-claimed phenomena in which one person may consider an experience transformative while another may not, these epiphanies reveal ways a person could negotiate "intense situations" and "effects that linger—recollections, memories, images, feelings—long after a crucial incident is supposedly finished" (</w:t>
      </w:r>
      <w:proofErr w:type="spellStart"/>
      <w:r>
        <w:rPr>
          <w:rFonts w:ascii="Times New Roman" w:eastAsia="Times New Roman" w:hAnsi="Times New Roman" w:cs="Times New Roman"/>
        </w:rPr>
        <w:t>Bochner</w:t>
      </w:r>
      <w:proofErr w:type="spellEnd"/>
      <w:r w:rsidRPr="0020229F">
        <w:rPr>
          <w:rFonts w:ascii="Times New Roman" w:eastAsia="Times New Roman" w:hAnsi="Times New Roman" w:cs="Times New Roman"/>
        </w:rPr>
        <w:t>, 1984, p.595). This is one justification for focusing the autoethnography on a student’s path to college and how they arrived at our school</w:t>
      </w:r>
      <w:r>
        <w:rPr>
          <w:rFonts w:ascii="Times New Roman" w:eastAsia="Times New Roman" w:hAnsi="Times New Roman" w:cs="Times New Roman"/>
        </w:rPr>
        <w:t xml:space="preserve"> </w:t>
      </w:r>
      <w:r w:rsidRPr="0020229F">
        <w:rPr>
          <w:rFonts w:ascii="Times New Roman" w:eastAsia="Times New Roman" w:hAnsi="Times New Roman" w:cs="Times New Roman"/>
        </w:rPr>
        <w:t>like we do at Guttman Community College</w:t>
      </w:r>
      <w:r>
        <w:rPr>
          <w:rFonts w:ascii="Times New Roman" w:eastAsia="Times New Roman" w:hAnsi="Times New Roman" w:cs="Times New Roman"/>
        </w:rPr>
        <w:t>.</w:t>
      </w:r>
      <w:r w:rsidRPr="0020229F" w:rsidDel="00457427">
        <w:rPr>
          <w:rFonts w:ascii="Times New Roman" w:eastAsia="Times New Roman" w:hAnsi="Times New Roman" w:cs="Times New Roman"/>
        </w:rPr>
        <w:t xml:space="preserve"> </w:t>
      </w:r>
      <w:r w:rsidRPr="0020229F">
        <w:rPr>
          <w:rFonts w:ascii="Times New Roman" w:eastAsia="Times New Roman" w:hAnsi="Times New Roman" w:cs="Times New Roman"/>
        </w:rPr>
        <w:t xml:space="preserve">When researchers do autoethnography, they retrospectively and selectively write about epiphanies that stem from, or are made possible by, being part of a culture and/or by possessing a </w:t>
      </w:r>
      <w:proofErr w:type="gramStart"/>
      <w:r w:rsidRPr="0020229F">
        <w:rPr>
          <w:rFonts w:ascii="Times New Roman" w:eastAsia="Times New Roman" w:hAnsi="Times New Roman" w:cs="Times New Roman"/>
        </w:rPr>
        <w:t>particular cultural</w:t>
      </w:r>
      <w:proofErr w:type="gramEnd"/>
      <w:r w:rsidRPr="0020229F">
        <w:rPr>
          <w:rFonts w:ascii="Times New Roman" w:eastAsia="Times New Roman" w:hAnsi="Times New Roman" w:cs="Times New Roman"/>
        </w:rPr>
        <w:t xml:space="preserve"> identity. However, in addition to </w:t>
      </w:r>
      <w:r w:rsidRPr="0020229F">
        <w:rPr>
          <w:rFonts w:ascii="Times New Roman" w:eastAsia="Times New Roman" w:hAnsi="Times New Roman" w:cs="Times New Roman"/>
        </w:rPr>
        <w:lastRenderedPageBreak/>
        <w:t xml:space="preserve">telling their audiences about experiences, </w:t>
      </w:r>
      <w:proofErr w:type="spellStart"/>
      <w:r w:rsidRPr="0020229F">
        <w:rPr>
          <w:rFonts w:ascii="Times New Roman" w:eastAsia="Times New Roman" w:hAnsi="Times New Roman" w:cs="Times New Roman"/>
        </w:rPr>
        <w:t>autoethnographers</w:t>
      </w:r>
      <w:proofErr w:type="spellEnd"/>
      <w:r w:rsidRPr="0020229F">
        <w:rPr>
          <w:rFonts w:ascii="Times New Roman" w:eastAsia="Times New Roman" w:hAnsi="Times New Roman" w:cs="Times New Roman"/>
        </w:rPr>
        <w:t xml:space="preserve"> often are required by social science publishing conventions to analyze these experiences. As Mitch </w:t>
      </w:r>
      <w:r>
        <w:rPr>
          <w:rFonts w:ascii="Times New Roman" w:eastAsia="Times New Roman" w:hAnsi="Times New Roman" w:cs="Times New Roman"/>
        </w:rPr>
        <w:t>Allen</w:t>
      </w:r>
      <w:r w:rsidRPr="0020229F">
        <w:rPr>
          <w:rFonts w:ascii="Times New Roman" w:eastAsia="Times New Roman" w:hAnsi="Times New Roman" w:cs="Times New Roman"/>
        </w:rPr>
        <w:t xml:space="preserve"> says, an </w:t>
      </w:r>
      <w:proofErr w:type="spellStart"/>
      <w:r w:rsidRPr="0020229F">
        <w:rPr>
          <w:rFonts w:ascii="Times New Roman" w:eastAsia="Times New Roman" w:hAnsi="Times New Roman" w:cs="Times New Roman"/>
        </w:rPr>
        <w:t>autoethnographer</w:t>
      </w:r>
      <w:proofErr w:type="spellEnd"/>
      <w:r w:rsidRPr="0020229F">
        <w:rPr>
          <w:rFonts w:ascii="Times New Roman" w:eastAsia="Times New Roman" w:hAnsi="Times New Roman" w:cs="Times New Roman"/>
        </w:rPr>
        <w:t xml:space="preserve"> must</w:t>
      </w:r>
    </w:p>
    <w:p w14:paraId="7828B171" w14:textId="77777777" w:rsidR="00306DAA" w:rsidRPr="0020229F" w:rsidRDefault="00306DAA" w:rsidP="00306DAA">
      <w:pPr>
        <w:shd w:val="clear" w:color="auto" w:fill="FFFFFF"/>
        <w:ind w:left="600"/>
        <w:rPr>
          <w:rFonts w:ascii="Times New Roman" w:eastAsia="Times New Roman" w:hAnsi="Times New Roman" w:cs="Times New Roman"/>
        </w:rPr>
      </w:pPr>
      <w:r w:rsidRPr="0020229F">
        <w:rPr>
          <w:rFonts w:ascii="Times New Roman" w:eastAsia="Times New Roman" w:hAnsi="Times New Roman" w:cs="Times New Roman"/>
        </w:rPr>
        <w:t>"look at experience analytically. Otherwise [you're] telling [your] story—and that's nice—but people do that on Oprah [a U.S.-based television program] every day. Why is your story more valid than anyone else's? What makes your story more valid is that you are a researcher. You have a set of theoretical and methodological tools and a research literature to use. That's your advantage. If you can't frame it around these tools and literature and just frame it as 'my story,' then why or how should I privilege your story over anyone else's I see 25 times a day on TV?" (personal interview, May 4, 2006)</w:t>
      </w:r>
      <w:r>
        <w:rPr>
          <w:rStyle w:val="FootnoteReference"/>
          <w:rFonts w:ascii="Times New Roman" w:eastAsia="Times New Roman" w:hAnsi="Times New Roman" w:cs="Times New Roman"/>
        </w:rPr>
        <w:footnoteReference w:id="3"/>
      </w:r>
    </w:p>
    <w:p w14:paraId="4C2C3E20" w14:textId="77777777" w:rsidR="00306DAA" w:rsidRPr="0020229F" w:rsidRDefault="00306DAA" w:rsidP="00306DAA">
      <w:pPr>
        <w:shd w:val="clear" w:color="auto" w:fill="FFFFFF"/>
        <w:rPr>
          <w:rFonts w:ascii="Times New Roman" w:eastAsia="Times New Roman" w:hAnsi="Times New Roman" w:cs="Times New Roman"/>
        </w:rPr>
      </w:pPr>
      <w:proofErr w:type="spellStart"/>
      <w:r w:rsidRPr="0020229F">
        <w:rPr>
          <w:rFonts w:ascii="Times New Roman" w:eastAsia="Times New Roman" w:hAnsi="Times New Roman" w:cs="Times New Roman"/>
        </w:rPr>
        <w:t>Autoethnographers</w:t>
      </w:r>
      <w:proofErr w:type="spellEnd"/>
      <w:r w:rsidRPr="0020229F">
        <w:rPr>
          <w:rFonts w:ascii="Times New Roman" w:eastAsia="Times New Roman" w:hAnsi="Times New Roman" w:cs="Times New Roman"/>
        </w:rPr>
        <w:t xml:space="preserve"> must not only use their methodological tools and research literature to analyze experience, but also must consider ways others may experience similar epiphanies; they must use personal experience to illustrate facets of cultural experience, and, in so doing, make characteristics of a culture familiar for insiders and outsiders. To accomplish this might require </w:t>
      </w:r>
      <w:proofErr w:type="gramStart"/>
      <w:r w:rsidRPr="0020229F">
        <w:rPr>
          <w:rFonts w:ascii="Times New Roman" w:eastAsia="Times New Roman" w:hAnsi="Times New Roman" w:cs="Times New Roman"/>
        </w:rPr>
        <w:t>comparing and contrasting</w:t>
      </w:r>
      <w:proofErr w:type="gramEnd"/>
      <w:r w:rsidRPr="0020229F">
        <w:rPr>
          <w:rFonts w:ascii="Times New Roman" w:eastAsia="Times New Roman" w:hAnsi="Times New Roman" w:cs="Times New Roman"/>
        </w:rPr>
        <w:t xml:space="preserve"> personal experience against existing research (RONAI, 1995, 1996), interviewing cultural members (</w:t>
      </w:r>
      <w:r>
        <w:rPr>
          <w:rFonts w:ascii="Times New Roman" w:eastAsia="Times New Roman" w:hAnsi="Times New Roman" w:cs="Times New Roman"/>
        </w:rPr>
        <w:t>Foster</w:t>
      </w:r>
      <w:r w:rsidRPr="0020229F">
        <w:rPr>
          <w:rFonts w:ascii="Times New Roman" w:eastAsia="Times New Roman" w:hAnsi="Times New Roman" w:cs="Times New Roman"/>
        </w:rPr>
        <w:t xml:space="preserve">, 2006; </w:t>
      </w:r>
      <w:proofErr w:type="spellStart"/>
      <w:r>
        <w:rPr>
          <w:rFonts w:ascii="Times New Roman" w:eastAsia="Times New Roman" w:hAnsi="Times New Roman" w:cs="Times New Roman"/>
        </w:rPr>
        <w:t>Marvasti</w:t>
      </w:r>
      <w:proofErr w:type="spellEnd"/>
      <w:r w:rsidRPr="0020229F">
        <w:rPr>
          <w:rFonts w:ascii="Times New Roman" w:eastAsia="Times New Roman" w:hAnsi="Times New Roman" w:cs="Times New Roman"/>
        </w:rPr>
        <w:t xml:space="preserve">, 2006; </w:t>
      </w:r>
      <w:proofErr w:type="spellStart"/>
      <w:r>
        <w:rPr>
          <w:rFonts w:ascii="Times New Roman" w:eastAsia="Times New Roman" w:hAnsi="Times New Roman" w:cs="Times New Roman"/>
        </w:rPr>
        <w:t>Tillmann</w:t>
      </w:r>
      <w:proofErr w:type="spellEnd"/>
      <w:r w:rsidRPr="0020229F">
        <w:rPr>
          <w:rFonts w:ascii="Times New Roman" w:eastAsia="Times New Roman" w:hAnsi="Times New Roman" w:cs="Times New Roman"/>
        </w:rPr>
        <w:t>-</w:t>
      </w:r>
      <w:r>
        <w:rPr>
          <w:rFonts w:ascii="Times New Roman" w:eastAsia="Times New Roman" w:hAnsi="Times New Roman" w:cs="Times New Roman"/>
        </w:rPr>
        <w:t>Healy</w:t>
      </w:r>
      <w:r w:rsidRPr="0020229F">
        <w:rPr>
          <w:rFonts w:ascii="Times New Roman" w:eastAsia="Times New Roman" w:hAnsi="Times New Roman" w:cs="Times New Roman"/>
        </w:rPr>
        <w:t>, 2001), and/or examining relevant cultural artifacts (</w:t>
      </w:r>
      <w:proofErr w:type="spellStart"/>
      <w:r>
        <w:rPr>
          <w:rFonts w:ascii="Times New Roman" w:eastAsia="Times New Roman" w:hAnsi="Times New Roman" w:cs="Times New Roman"/>
        </w:rPr>
        <w:t>Boylorn</w:t>
      </w:r>
      <w:proofErr w:type="spellEnd"/>
      <w:r w:rsidRPr="0020229F">
        <w:rPr>
          <w:rFonts w:ascii="Times New Roman" w:eastAsia="Times New Roman" w:hAnsi="Times New Roman" w:cs="Times New Roman"/>
        </w:rPr>
        <w:t xml:space="preserve">, 2008; </w:t>
      </w:r>
      <w:r>
        <w:rPr>
          <w:rFonts w:ascii="Times New Roman" w:eastAsia="Times New Roman" w:hAnsi="Times New Roman" w:cs="Times New Roman"/>
        </w:rPr>
        <w:t>Denzin</w:t>
      </w:r>
      <w:r w:rsidRPr="0020229F">
        <w:rPr>
          <w:rFonts w:ascii="Times New Roman" w:eastAsia="Times New Roman" w:hAnsi="Times New Roman" w:cs="Times New Roman"/>
        </w:rPr>
        <w:t>, 2006).</w:t>
      </w:r>
    </w:p>
    <w:p w14:paraId="5858380D"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In her piece “Evaluating Ethnography,” Laurel Richardson examines the divide that has persisted between literary and scientific writing (253). This is </w:t>
      </w:r>
      <w:proofErr w:type="gramStart"/>
      <w:r w:rsidRPr="0020229F">
        <w:rPr>
          <w:rFonts w:ascii="Times New Roman" w:eastAsia="Times New Roman" w:hAnsi="Times New Roman" w:cs="Times New Roman"/>
        </w:rPr>
        <w:t>similar to</w:t>
      </w:r>
      <w:proofErr w:type="gramEnd"/>
      <w:r w:rsidRPr="0020229F">
        <w:rPr>
          <w:rFonts w:ascii="Times New Roman" w:eastAsia="Times New Roman" w:hAnsi="Times New Roman" w:cs="Times New Roman"/>
        </w:rPr>
        <w:t xml:space="preserve"> the division that has existed between academic and personal writing. She notes the “oxymoronic” naming of genres that have tried to bridge this gap, thus blurring distinctions among categories such as “creative nonfiction; faction; ethnographic fiction; the nonfiction novel; and true fiction” (253). And she seeks to lay out the criteria she uses to judge ethnography’s success.</w:t>
      </w:r>
      <w:r>
        <w:rPr>
          <w:rStyle w:val="FootnoteReference"/>
          <w:rFonts w:ascii="Times New Roman" w:eastAsia="Times New Roman" w:hAnsi="Times New Roman" w:cs="Times New Roman"/>
        </w:rPr>
        <w:footnoteReference w:id="4"/>
      </w:r>
    </w:p>
    <w:p w14:paraId="4B6B302D"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In attempting to create new standards that allow writers to move more freely in their ethnographic work, Richardson establishes the following as important evaluative criteria. She believes the work should: make a substantive contribution, have aesthetic merit, have reflexivity, make an impact, and express a reality (254). In this way, Richardson intends to show the related nature of scientific research and creative expression.</w:t>
      </w:r>
    </w:p>
    <w:p w14:paraId="6A2405F0"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Arthur </w:t>
      </w:r>
      <w:proofErr w:type="spellStart"/>
      <w:r w:rsidRPr="0020229F">
        <w:rPr>
          <w:rFonts w:ascii="Times New Roman" w:eastAsia="Times New Roman" w:hAnsi="Times New Roman" w:cs="Times New Roman"/>
        </w:rPr>
        <w:t>Bochner</w:t>
      </w:r>
      <w:proofErr w:type="spellEnd"/>
      <w:r w:rsidRPr="0020229F">
        <w:rPr>
          <w:rFonts w:ascii="Times New Roman" w:eastAsia="Times New Roman" w:hAnsi="Times New Roman" w:cs="Times New Roman"/>
        </w:rPr>
        <w:t xml:space="preserve"> responds to Richardson in “Criteria Against </w:t>
      </w:r>
      <w:proofErr w:type="gramStart"/>
      <w:r w:rsidRPr="0020229F">
        <w:rPr>
          <w:rFonts w:ascii="Times New Roman" w:eastAsia="Times New Roman" w:hAnsi="Times New Roman" w:cs="Times New Roman"/>
        </w:rPr>
        <w:t>Ourselves</w:t>
      </w:r>
      <w:proofErr w:type="gramEnd"/>
      <w:r w:rsidRPr="0020229F">
        <w:rPr>
          <w:rFonts w:ascii="Times New Roman" w:eastAsia="Times New Roman" w:hAnsi="Times New Roman" w:cs="Times New Roman"/>
        </w:rPr>
        <w:t>” and sets up his own evaluation criteria for what he terms “alternative ethnography,” another name often assigned to ethnography that deviates from traditional social science norms. He sees alternative ethnographies as “narratives of the self” that “extract meaning from experience rather than depict experience exactly as it was lived” (270). When looking at this personal writing, he wants abundant concrete detail, structurally complex narratives, emotional credibility, a tale of two selves, and ethical self-consciousness (270-71).</w:t>
      </w:r>
    </w:p>
    <w:p w14:paraId="0304AEFE"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In “Evocative Autoethnography: Writing Emotionally About Our Lives,” Carolyn Ellis describes her gradual departure from traditional sociological methods into an approach that is more personally meaningful. She achieves this balance in her writing by using multiple voices, starting and restarting to establish her point of view through both analysis and storytelling. “I made myself begin again in an autoethnographic voice that concentrates on telling a personal, evocative story to provoke others’ stories and adds blood and tissue to the abstract bones of the </w:t>
      </w:r>
      <w:r w:rsidRPr="0020229F">
        <w:rPr>
          <w:rFonts w:ascii="Times New Roman" w:eastAsia="Times New Roman" w:hAnsi="Times New Roman" w:cs="Times New Roman"/>
        </w:rPr>
        <w:lastRenderedPageBreak/>
        <w:t>theoretical discourse” (117). Throughout the piece, she clearly establishes a point of view, which she emphasizes in many of her works about autoethnography, “I think that sociology can be emotional, personal, therapeutic, interesting, engaging, evocative, reflexive, helpful, concrete, and connected to the world of everyday experience” (120). She aims to be true to her feelings, move away from time ordered structures and convey her emotions (128).</w:t>
      </w:r>
    </w:p>
    <w:p w14:paraId="65BA01D7"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Ellis draws on interviews, notes, conversations, and diaries to construct her writing and seeks to find herself in the context of a larger world. “The inner workings of the self must be investigated in reciprocal relationship with the other: concrete action, dialogue, emotion, and thinking are featured, but they are represented within relationships and institutions, very much impacted by history, social structure, and culture, which themselves are dialectically revealed through action, thought, and language” (133).</w:t>
      </w:r>
    </w:p>
    <w:p w14:paraId="2BE57E75"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She seeks to find value in autoethnography through the impact it has on her audience. “A story’s ‘validity’ can be judged by whether it evokes in readers a feeling that the experience described is authentic and lifelike, believable and possible; the story’s generalizability can be judged by whether it speaks to readers about their experience” (133). She believes that by sharing stories this way, we </w:t>
      </w:r>
      <w:proofErr w:type="gramStart"/>
      <w:r w:rsidRPr="0020229F">
        <w:rPr>
          <w:rFonts w:ascii="Times New Roman" w:eastAsia="Times New Roman" w:hAnsi="Times New Roman" w:cs="Times New Roman"/>
        </w:rPr>
        <w:t>open up</w:t>
      </w:r>
      <w:proofErr w:type="gramEnd"/>
      <w:r w:rsidRPr="0020229F">
        <w:rPr>
          <w:rFonts w:ascii="Times New Roman" w:eastAsia="Times New Roman" w:hAnsi="Times New Roman" w:cs="Times New Roman"/>
        </w:rPr>
        <w:t xml:space="preserve"> a world that allows others to share their stories (134).</w:t>
      </w:r>
    </w:p>
    <w:p w14:paraId="1E3127D2"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To accomplish this, your first attempt at </w:t>
      </w:r>
      <w:proofErr w:type="spellStart"/>
      <w:r w:rsidRPr="0020229F">
        <w:rPr>
          <w:rFonts w:ascii="Times New Roman" w:eastAsia="Times New Roman" w:hAnsi="Times New Roman" w:cs="Times New Roman"/>
        </w:rPr>
        <w:t>autoethngraphy</w:t>
      </w:r>
      <w:proofErr w:type="spellEnd"/>
      <w:r w:rsidRPr="0020229F">
        <w:rPr>
          <w:rFonts w:ascii="Times New Roman" w:eastAsia="Times New Roman" w:hAnsi="Times New Roman" w:cs="Times New Roman"/>
        </w:rPr>
        <w:t xml:space="preserve"> might begin with Allen’s simple retelling of a “story”. This story connects with something powerful in your life and may lead you to a </w:t>
      </w:r>
      <w:proofErr w:type="gramStart"/>
      <w:r w:rsidRPr="0020229F">
        <w:rPr>
          <w:rFonts w:ascii="Times New Roman" w:eastAsia="Times New Roman" w:hAnsi="Times New Roman" w:cs="Times New Roman"/>
        </w:rPr>
        <w:t>particular conclusion</w:t>
      </w:r>
      <w:proofErr w:type="gramEnd"/>
      <w:r w:rsidRPr="0020229F">
        <w:rPr>
          <w:rFonts w:ascii="Times New Roman" w:eastAsia="Times New Roman" w:hAnsi="Times New Roman" w:cs="Times New Roman"/>
        </w:rPr>
        <w:t xml:space="preserve"> about how your individual world works and how that is affected by larger social institutions. If you </w:t>
      </w:r>
      <w:proofErr w:type="gramStart"/>
      <w:r w:rsidRPr="0020229F">
        <w:rPr>
          <w:rFonts w:ascii="Times New Roman" w:eastAsia="Times New Roman" w:hAnsi="Times New Roman" w:cs="Times New Roman"/>
        </w:rPr>
        <w:t>are able to</w:t>
      </w:r>
      <w:proofErr w:type="gramEnd"/>
      <w:r w:rsidRPr="0020229F">
        <w:rPr>
          <w:rFonts w:ascii="Times New Roman" w:eastAsia="Times New Roman" w:hAnsi="Times New Roman" w:cs="Times New Roman"/>
        </w:rPr>
        <w:t xml:space="preserve"> do multiple drafts, the opportunity for reflection grows and the connection to larger social institutions is more easily made.</w:t>
      </w:r>
      <w:r>
        <w:rPr>
          <w:rStyle w:val="FootnoteReference"/>
          <w:rFonts w:ascii="Times New Roman" w:eastAsia="Times New Roman" w:hAnsi="Times New Roman" w:cs="Times New Roman"/>
        </w:rPr>
        <w:footnoteReference w:id="5"/>
      </w:r>
    </w:p>
    <w:p w14:paraId="5ED16A8B" w14:textId="77777777" w:rsidR="00306DAA" w:rsidRPr="0020229F" w:rsidRDefault="00306DAA" w:rsidP="00306DAA">
      <w:pPr>
        <w:rPr>
          <w:rFonts w:ascii="Times New Roman" w:eastAsia="Times New Roman" w:hAnsi="Times New Roman" w:cs="Times New Roman"/>
          <w:shd w:val="clear" w:color="auto" w:fill="F6F6F6"/>
        </w:rPr>
      </w:pPr>
    </w:p>
    <w:p w14:paraId="22F14CBC" w14:textId="77777777" w:rsidR="00306DAA" w:rsidRPr="0020229F" w:rsidRDefault="00306DAA" w:rsidP="00306DAA">
      <w:pPr>
        <w:pStyle w:val="Heading2"/>
        <w:spacing w:before="0"/>
        <w:rPr>
          <w:rFonts w:ascii="Times New Roman" w:hAnsi="Times New Roman" w:cs="Times New Roman"/>
        </w:rPr>
      </w:pPr>
      <w:r w:rsidRPr="0020229F">
        <w:rPr>
          <w:rFonts w:ascii="Times New Roman" w:hAnsi="Times New Roman" w:cs="Times New Roman"/>
        </w:rPr>
        <w:t xml:space="preserve">Preparing for the </w:t>
      </w:r>
      <w:proofErr w:type="spellStart"/>
      <w:r w:rsidRPr="0020229F">
        <w:rPr>
          <w:rFonts w:ascii="Times New Roman" w:hAnsi="Times New Roman" w:cs="Times New Roman"/>
        </w:rPr>
        <w:t>Autoethnograhy</w:t>
      </w:r>
      <w:proofErr w:type="spellEnd"/>
      <w:r w:rsidRPr="0020229F">
        <w:rPr>
          <w:rFonts w:ascii="Times New Roman" w:hAnsi="Times New Roman" w:cs="Times New Roman"/>
        </w:rPr>
        <w:t xml:space="preserve"> </w:t>
      </w:r>
    </w:p>
    <w:p w14:paraId="1E1993E7"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In writing an autoethnography, you will be asked to analyze your </w:t>
      </w:r>
      <w:r>
        <w:rPr>
          <w:rFonts w:ascii="Times New Roman" w:eastAsia="Times New Roman" w:hAnsi="Times New Roman" w:cs="Times New Roman"/>
        </w:rPr>
        <w:t>epiphany, position</w:t>
      </w:r>
      <w:r w:rsidRPr="0020229F">
        <w:rPr>
          <w:rFonts w:ascii="Times New Roman" w:eastAsia="Times New Roman" w:hAnsi="Times New Roman" w:cs="Times New Roman"/>
        </w:rPr>
        <w:t xml:space="preserve"> in the subculture or </w:t>
      </w:r>
      <w:r>
        <w:rPr>
          <w:rFonts w:ascii="Times New Roman" w:eastAsia="Times New Roman" w:hAnsi="Times New Roman" w:cs="Times New Roman"/>
        </w:rPr>
        <w:t>the educational</w:t>
      </w:r>
      <w:r w:rsidRPr="0020229F">
        <w:rPr>
          <w:rFonts w:ascii="Times New Roman" w:eastAsia="Times New Roman" w:hAnsi="Times New Roman" w:cs="Times New Roman"/>
        </w:rPr>
        <w:t xml:space="preserve"> path you are currently </w:t>
      </w:r>
      <w:r>
        <w:rPr>
          <w:rFonts w:ascii="Times New Roman" w:eastAsia="Times New Roman" w:hAnsi="Times New Roman" w:cs="Times New Roman"/>
        </w:rPr>
        <w:t>o</w:t>
      </w:r>
      <w:r w:rsidRPr="0020229F">
        <w:rPr>
          <w:rFonts w:ascii="Times New Roman" w:eastAsia="Times New Roman" w:hAnsi="Times New Roman" w:cs="Times New Roman"/>
        </w:rPr>
        <w:t>n as well as the positioning of others and how it might affect your perspective. Autoethnographic analysis in this case might include interviewing other members of the subculture, conducting field observation, analyzing textual materials, investigating histories, and engaging in self-reflection. Previous involvement in or attachment to a subculture provides a vested interest in the project, a sense of authority, and a position from which to analyze.</w:t>
      </w:r>
      <w:r>
        <w:rPr>
          <w:rStyle w:val="FootnoteReference"/>
          <w:rFonts w:ascii="Times New Roman" w:eastAsia="Times New Roman" w:hAnsi="Times New Roman" w:cs="Times New Roman"/>
        </w:rPr>
        <w:footnoteReference w:id="6"/>
      </w:r>
    </w:p>
    <w:p w14:paraId="564BC2F5"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When conducting autoethnographic research, as opposed to traditional ethnographic research, you start out with a certain amount of knowledge about the subculture or epiphany you are investigating because you have some expertise about it. At the same time, because it is necessary to explain the subculture to those who are unfamiliar with it, you must also learn how to translate that knowledge to an outside audience. In addition, when considering any </w:t>
      </w:r>
      <w:proofErr w:type="gramStart"/>
      <w:r w:rsidRPr="0020229F">
        <w:rPr>
          <w:rFonts w:ascii="Times New Roman" w:eastAsia="Times New Roman" w:hAnsi="Times New Roman" w:cs="Times New Roman"/>
        </w:rPr>
        <w:t>observations</w:t>
      </w:r>
      <w:proofErr w:type="gramEnd"/>
      <w:r w:rsidRPr="0020229F">
        <w:rPr>
          <w:rFonts w:ascii="Times New Roman" w:eastAsia="Times New Roman" w:hAnsi="Times New Roman" w:cs="Times New Roman"/>
        </w:rPr>
        <w:t xml:space="preserve"> you might make, you need to look at the subculture afresh and describe elements </w:t>
      </w:r>
      <w:r>
        <w:rPr>
          <w:rFonts w:ascii="Times New Roman" w:eastAsia="Times New Roman" w:hAnsi="Times New Roman" w:cs="Times New Roman"/>
        </w:rPr>
        <w:t>you may</w:t>
      </w:r>
      <w:r w:rsidRPr="0020229F">
        <w:rPr>
          <w:rFonts w:ascii="Times New Roman" w:eastAsia="Times New Roman" w:hAnsi="Times New Roman" w:cs="Times New Roman"/>
        </w:rPr>
        <w:t xml:space="preserve"> have taken for granted. You must account for rituals, language and subtleties that make it operate as something unique and situated. You might consider interviewing members of the subculture who inhabit a different position than you do, and you can also gather new perspectives from insiders that will help you to further articulate your own ideas and question your own authority in communicating exactly what the subculture is. Interviewing and conducting observations can both empower you and decenter you from your own experience, </w:t>
      </w:r>
      <w:r w:rsidRPr="0020229F">
        <w:rPr>
          <w:rFonts w:ascii="Times New Roman" w:eastAsia="Times New Roman" w:hAnsi="Times New Roman" w:cs="Times New Roman"/>
        </w:rPr>
        <w:lastRenderedPageBreak/>
        <w:t>forcing you to question and revise your representation of your experience to an intended audience (</w:t>
      </w:r>
      <w:r>
        <w:rPr>
          <w:rFonts w:ascii="Times New Roman" w:eastAsia="Times New Roman" w:hAnsi="Times New Roman" w:cs="Times New Roman"/>
        </w:rPr>
        <w:t xml:space="preserve">your </w:t>
      </w:r>
      <w:r w:rsidRPr="0020229F">
        <w:rPr>
          <w:rFonts w:ascii="Times New Roman" w:eastAsia="Times New Roman" w:hAnsi="Times New Roman" w:cs="Times New Roman"/>
        </w:rPr>
        <w:t xml:space="preserve">instructor and classmates, who </w:t>
      </w:r>
      <w:r>
        <w:rPr>
          <w:rFonts w:ascii="Times New Roman" w:eastAsia="Times New Roman" w:hAnsi="Times New Roman" w:cs="Times New Roman"/>
        </w:rPr>
        <w:t>may</w:t>
      </w:r>
      <w:r w:rsidRPr="0020229F">
        <w:rPr>
          <w:rFonts w:ascii="Times New Roman" w:eastAsia="Times New Roman" w:hAnsi="Times New Roman" w:cs="Times New Roman"/>
        </w:rPr>
        <w:t xml:space="preserve"> see this writing at multiple stages).</w:t>
      </w:r>
      <w:r>
        <w:rPr>
          <w:rStyle w:val="FootnoteReference"/>
          <w:rFonts w:ascii="Times New Roman" w:eastAsia="Times New Roman" w:hAnsi="Times New Roman" w:cs="Times New Roman"/>
        </w:rPr>
        <w:footnoteReference w:id="7"/>
      </w:r>
    </w:p>
    <w:p w14:paraId="33831A21"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When you draw on visceral experiences as well as textual evidence, it can also create a richer understanding of the subculture and an ethical responsibility to convey its multiple facets and to avoid being reductive. This can increase your understanding and involvement in the subculture and produce a new appreciation for an activity that perhaps had been an unexamined part of </w:t>
      </w:r>
      <w:r>
        <w:rPr>
          <w:rFonts w:ascii="Times New Roman" w:eastAsia="Times New Roman" w:hAnsi="Times New Roman" w:cs="Times New Roman"/>
        </w:rPr>
        <w:t>your</w:t>
      </w:r>
      <w:r w:rsidRPr="0020229F">
        <w:rPr>
          <w:rFonts w:ascii="Times New Roman" w:eastAsia="Times New Roman" w:hAnsi="Times New Roman" w:cs="Times New Roman"/>
        </w:rPr>
        <w:t xml:space="preserve"> </w:t>
      </w:r>
      <w:r>
        <w:rPr>
          <w:rFonts w:ascii="Times New Roman" w:eastAsia="Times New Roman" w:hAnsi="Times New Roman" w:cs="Times New Roman"/>
        </w:rPr>
        <w:t>life</w:t>
      </w:r>
      <w:r w:rsidRPr="0020229F">
        <w:rPr>
          <w:rFonts w:ascii="Times New Roman" w:eastAsia="Times New Roman" w:hAnsi="Times New Roman" w:cs="Times New Roman"/>
        </w:rPr>
        <w:t xml:space="preserve"> outside the classroom. In this way, the writing carries an impact that extends beyond the scope of the assignment and its evaluation against classroom standards.</w:t>
      </w:r>
    </w:p>
    <w:p w14:paraId="478E37C2" w14:textId="77777777" w:rsidR="00306DAA" w:rsidRPr="0020229F" w:rsidRDefault="00306DAA" w:rsidP="00306DAA">
      <w:pPr>
        <w:ind w:firstLine="720"/>
        <w:rPr>
          <w:rFonts w:ascii="Times New Roman" w:eastAsia="Times New Roman" w:hAnsi="Times New Roman" w:cs="Times New Roman"/>
        </w:rPr>
      </w:pPr>
      <w:r w:rsidRPr="0020229F">
        <w:rPr>
          <w:rFonts w:ascii="Times New Roman" w:eastAsia="Times New Roman" w:hAnsi="Times New Roman" w:cs="Times New Roman"/>
        </w:rPr>
        <w:t xml:space="preserve">One of the first steps you want to take in preparing for your </w:t>
      </w:r>
      <w:proofErr w:type="spellStart"/>
      <w:r w:rsidRPr="0020229F">
        <w:rPr>
          <w:rFonts w:ascii="Times New Roman" w:eastAsia="Times New Roman" w:hAnsi="Times New Roman" w:cs="Times New Roman"/>
        </w:rPr>
        <w:t>autoethnograpy</w:t>
      </w:r>
      <w:proofErr w:type="spellEnd"/>
      <w:r w:rsidRPr="0020229F">
        <w:rPr>
          <w:rFonts w:ascii="Times New Roman" w:eastAsia="Times New Roman" w:hAnsi="Times New Roman" w:cs="Times New Roman"/>
        </w:rPr>
        <w:t xml:space="preserve"> is to determine </w:t>
      </w:r>
      <w:r>
        <w:rPr>
          <w:rFonts w:ascii="Times New Roman" w:eastAsia="Times New Roman" w:hAnsi="Times New Roman" w:cs="Times New Roman"/>
        </w:rPr>
        <w:t>its</w:t>
      </w:r>
      <w:r w:rsidRPr="0020229F">
        <w:rPr>
          <w:rFonts w:ascii="Times New Roman" w:eastAsia="Times New Roman" w:hAnsi="Times New Roman" w:cs="Times New Roman"/>
        </w:rPr>
        <w:t xml:space="preserve"> structure. An autoethnography assignment will generally provide you with an overall question, a </w:t>
      </w:r>
      <w:proofErr w:type="gramStart"/>
      <w:r w:rsidRPr="0020229F">
        <w:rPr>
          <w:rFonts w:ascii="Times New Roman" w:eastAsia="Times New Roman" w:hAnsi="Times New Roman" w:cs="Times New Roman"/>
        </w:rPr>
        <w:t>particular subculture</w:t>
      </w:r>
      <w:proofErr w:type="gramEnd"/>
      <w:r w:rsidRPr="0020229F">
        <w:rPr>
          <w:rFonts w:ascii="Times New Roman" w:eastAsia="Times New Roman" w:hAnsi="Times New Roman" w:cs="Times New Roman"/>
        </w:rPr>
        <w:t xml:space="preserve"> or epiphany or a series of smaller questions related to an overall theme. You should pay close attention to what is being asked of you including what you will need to submit, the research required to complete it and what the differences are between any subsequent drafts.  At Guttman, we generally begin with an exercise that helps you to think about your path to college. This might be a brainstorm, a list of questions or an exploration of your own notes, posts, assignments or journal entries.</w:t>
      </w:r>
      <w:r>
        <w:rPr>
          <w:rStyle w:val="FootnoteReference"/>
          <w:rFonts w:ascii="Times New Roman" w:eastAsia="Times New Roman" w:hAnsi="Times New Roman" w:cs="Times New Roman"/>
        </w:rPr>
        <w:footnoteReference w:id="8"/>
      </w:r>
    </w:p>
    <w:p w14:paraId="35FDEA2A" w14:textId="77777777" w:rsidR="00306DAA" w:rsidRPr="0020229F" w:rsidRDefault="00306DAA" w:rsidP="00306DAA">
      <w:pPr>
        <w:rPr>
          <w:rFonts w:ascii="Times New Roman" w:eastAsia="Times New Roman" w:hAnsi="Times New Roman" w:cs="Times New Roman"/>
        </w:rPr>
      </w:pPr>
    </w:p>
    <w:p w14:paraId="690D1B2E" w14:textId="77777777" w:rsidR="00306DAA" w:rsidRPr="0020229F" w:rsidRDefault="00306DAA" w:rsidP="00306DAA">
      <w:pPr>
        <w:pStyle w:val="Heading2"/>
        <w:spacing w:before="0"/>
        <w:rPr>
          <w:rFonts w:ascii="Times New Roman" w:hAnsi="Times New Roman" w:cs="Times New Roman"/>
        </w:rPr>
      </w:pPr>
      <w:r w:rsidRPr="0020229F">
        <w:rPr>
          <w:rFonts w:ascii="Times New Roman" w:hAnsi="Times New Roman" w:cs="Times New Roman"/>
        </w:rPr>
        <w:t>Collecting data for your autoethnography</w:t>
      </w:r>
    </w:p>
    <w:p w14:paraId="36D8B051" w14:textId="77777777" w:rsidR="00306DAA" w:rsidRPr="0020229F" w:rsidRDefault="00306DAA" w:rsidP="00306DAA">
      <w:pPr>
        <w:rPr>
          <w:rFonts w:ascii="Times New Roman" w:eastAsia="Times New Roman" w:hAnsi="Times New Roman" w:cs="Times New Roman"/>
        </w:rPr>
      </w:pPr>
    </w:p>
    <w:p w14:paraId="31F0EFE3" w14:textId="77777777" w:rsidR="00306DAA" w:rsidRPr="0020229F" w:rsidRDefault="00306DAA" w:rsidP="00306DAA">
      <w:pPr>
        <w:ind w:firstLine="720"/>
        <w:rPr>
          <w:rFonts w:ascii="Times New Roman" w:eastAsia="Times New Roman" w:hAnsi="Times New Roman" w:cs="Times New Roman"/>
        </w:rPr>
      </w:pPr>
      <w:r w:rsidRPr="0020229F">
        <w:rPr>
          <w:rFonts w:ascii="Times New Roman" w:eastAsia="Times New Roman" w:hAnsi="Times New Roman" w:cs="Times New Roman"/>
        </w:rPr>
        <w:t>If you have not been provided a list of questions, you may need to develop your own. In this case, you will need to review whichever aspect of your world your professor has asked you to examine and any experiences, people and artifacts that are related.</w:t>
      </w:r>
      <w:r>
        <w:rPr>
          <w:rStyle w:val="FootnoteReference"/>
          <w:rFonts w:ascii="Times New Roman" w:eastAsia="Times New Roman" w:hAnsi="Times New Roman" w:cs="Times New Roman"/>
        </w:rPr>
        <w:footnoteReference w:id="9"/>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06DAA" w:rsidRPr="0020229F" w14:paraId="58868570" w14:textId="77777777" w:rsidTr="00306DAA">
        <w:tc>
          <w:tcPr>
            <w:tcW w:w="9360" w:type="dxa"/>
            <w:shd w:val="clear" w:color="auto" w:fill="auto"/>
            <w:tcMar>
              <w:top w:w="100" w:type="dxa"/>
              <w:left w:w="100" w:type="dxa"/>
              <w:bottom w:w="100" w:type="dxa"/>
              <w:right w:w="100" w:type="dxa"/>
            </w:tcMar>
          </w:tcPr>
          <w:p w14:paraId="032FB6DA" w14:textId="77777777" w:rsidR="00306DAA" w:rsidRPr="0020229F" w:rsidRDefault="00306DAA" w:rsidP="00306DAA">
            <w:pPr>
              <w:rPr>
                <w:rFonts w:ascii="Times New Roman" w:eastAsia="Times New Roman" w:hAnsi="Times New Roman" w:cs="Times New Roman"/>
                <w:highlight w:val="white"/>
              </w:rPr>
            </w:pPr>
          </w:p>
        </w:tc>
      </w:tr>
      <w:tr w:rsidR="00306DAA" w:rsidRPr="0020229F" w14:paraId="38893604" w14:textId="77777777" w:rsidTr="00306DAA">
        <w:tc>
          <w:tcPr>
            <w:tcW w:w="9360" w:type="dxa"/>
            <w:shd w:val="clear" w:color="auto" w:fill="auto"/>
            <w:tcMar>
              <w:top w:w="100" w:type="dxa"/>
              <w:left w:w="100" w:type="dxa"/>
              <w:bottom w:w="100" w:type="dxa"/>
              <w:right w:w="100" w:type="dxa"/>
            </w:tcMar>
          </w:tcPr>
          <w:p w14:paraId="3BB9F507" w14:textId="77777777" w:rsidR="00306DAA" w:rsidRPr="0020229F" w:rsidRDefault="00306DAA" w:rsidP="00306DAA">
            <w:pPr>
              <w:rPr>
                <w:rFonts w:ascii="Times New Roman" w:eastAsia="Times New Roman" w:hAnsi="Times New Roman" w:cs="Times New Roman"/>
                <w:highlight w:val="white"/>
              </w:rPr>
            </w:pPr>
            <w:r w:rsidRPr="0020229F">
              <w:rPr>
                <w:rFonts w:ascii="Times New Roman" w:eastAsia="Times New Roman" w:hAnsi="Times New Roman" w:cs="Times New Roman"/>
                <w:highlight w:val="white"/>
              </w:rPr>
              <w:t>At Guttman, we focus on the general question "How Did I Get Here?" and ask you to reflect on your unique experiences, positions and perspectives in this world. You should think about who were the people that lead you to this college? What has happened with your schooling and work experiences, your family and friends, your spiritual/religious beliefs, and/or your neighborhoods that brought you to Guttman?</w:t>
            </w:r>
          </w:p>
          <w:p w14:paraId="67F9E821" w14:textId="77777777" w:rsidR="00306DAA" w:rsidRPr="0020229F" w:rsidRDefault="00306DAA" w:rsidP="00306DAA">
            <w:pPr>
              <w:rPr>
                <w:rFonts w:ascii="Times New Roman" w:eastAsia="Times New Roman" w:hAnsi="Times New Roman" w:cs="Times New Roman"/>
                <w:highlight w:val="white"/>
              </w:rPr>
            </w:pPr>
          </w:p>
          <w:p w14:paraId="794B2AFA" w14:textId="77777777" w:rsidR="00306DAA" w:rsidRPr="0020229F" w:rsidRDefault="00306DAA" w:rsidP="00306DAA">
            <w:pPr>
              <w:rPr>
                <w:rFonts w:ascii="Times New Roman" w:eastAsia="Times New Roman" w:hAnsi="Times New Roman" w:cs="Times New Roman"/>
                <w:highlight w:val="white"/>
              </w:rPr>
            </w:pPr>
            <w:r w:rsidRPr="0020229F">
              <w:rPr>
                <w:rFonts w:ascii="Times New Roman" w:eastAsia="Times New Roman" w:hAnsi="Times New Roman" w:cs="Times New Roman"/>
                <w:highlight w:val="white"/>
              </w:rPr>
              <w:t xml:space="preserve">For your autoethnography, you will think deeply about your own understanding of how you got to Guttman—the people, places and experiences in your life that led you to New York, to Guttman, through your first year and to a possible major and career. This is called an autoethnography because the primary source of analysis is your experience and perceptions of the events in your life.  Your introduction should engage readers with your story and your purpose of </w:t>
            </w:r>
            <w:proofErr w:type="gramStart"/>
            <w:r w:rsidRPr="0020229F">
              <w:rPr>
                <w:rFonts w:ascii="Times New Roman" w:eastAsia="Times New Roman" w:hAnsi="Times New Roman" w:cs="Times New Roman"/>
                <w:highlight w:val="white"/>
              </w:rPr>
              <w:t>writing</w:t>
            </w:r>
            <w:proofErr w:type="gramEnd"/>
            <w:r w:rsidRPr="0020229F">
              <w:rPr>
                <w:rFonts w:ascii="Times New Roman" w:eastAsia="Times New Roman" w:hAnsi="Times New Roman" w:cs="Times New Roman"/>
                <w:highlight w:val="white"/>
              </w:rPr>
              <w:t xml:space="preserve"> and your conclusion should state your main findings about your path to Guttman and reflect more broadly on how your experience may indicate larger ideas/experiences/structures in our social world.</w:t>
            </w:r>
          </w:p>
          <w:p w14:paraId="53BCB5BA" w14:textId="77777777" w:rsidR="00306DAA" w:rsidRPr="0020229F" w:rsidRDefault="00306DAA" w:rsidP="00306DAA">
            <w:pPr>
              <w:rPr>
                <w:rFonts w:ascii="Times New Roman" w:eastAsia="Times New Roman" w:hAnsi="Times New Roman" w:cs="Times New Roman"/>
                <w:highlight w:val="white"/>
              </w:rPr>
            </w:pPr>
            <w:r w:rsidRPr="0020229F">
              <w:rPr>
                <w:rFonts w:ascii="Times New Roman" w:eastAsia="Times New Roman" w:hAnsi="Times New Roman" w:cs="Times New Roman"/>
                <w:highlight w:val="white"/>
              </w:rPr>
              <w:t>Some professors may also ask you to consider the following questions:</w:t>
            </w:r>
          </w:p>
          <w:p w14:paraId="0994729F" w14:textId="77777777" w:rsidR="00306DAA" w:rsidRPr="0020229F" w:rsidRDefault="00306DAA" w:rsidP="00306DAA">
            <w:pPr>
              <w:ind w:left="1440"/>
              <w:rPr>
                <w:rFonts w:ascii="Times New Roman" w:eastAsia="Times New Roman" w:hAnsi="Times New Roman" w:cs="Times New Roman"/>
                <w:highlight w:val="white"/>
              </w:rPr>
            </w:pPr>
            <w:r w:rsidRPr="0020229F">
              <w:rPr>
                <w:rFonts w:ascii="Times New Roman" w:eastAsia="Times New Roman" w:hAnsi="Times New Roman" w:cs="Times New Roman"/>
                <w:highlight w:val="white"/>
              </w:rPr>
              <w:t>1.      How do your experiences reflect broader societal issues about education?</w:t>
            </w:r>
          </w:p>
          <w:p w14:paraId="1EFDED45" w14:textId="77777777" w:rsidR="00306DAA" w:rsidRPr="0020229F" w:rsidRDefault="00306DAA" w:rsidP="00306DAA">
            <w:pPr>
              <w:ind w:left="1440"/>
              <w:rPr>
                <w:rFonts w:ascii="Times New Roman" w:eastAsia="Times New Roman" w:hAnsi="Times New Roman" w:cs="Times New Roman"/>
                <w:highlight w:val="white"/>
              </w:rPr>
            </w:pPr>
            <w:r w:rsidRPr="0020229F">
              <w:rPr>
                <w:rFonts w:ascii="Times New Roman" w:eastAsia="Times New Roman" w:hAnsi="Times New Roman" w:cs="Times New Roman"/>
                <w:highlight w:val="white"/>
              </w:rPr>
              <w:lastRenderedPageBreak/>
              <w:t xml:space="preserve">2.      How does race, socio-economic class, gender and other aspects of identity play out in your narrative? </w:t>
            </w:r>
          </w:p>
          <w:p w14:paraId="0E8429B1" w14:textId="77777777" w:rsidR="00306DAA" w:rsidRPr="0020229F" w:rsidRDefault="00306DAA" w:rsidP="00306DAA">
            <w:pPr>
              <w:ind w:left="1440"/>
              <w:rPr>
                <w:rFonts w:ascii="Times New Roman" w:eastAsia="Times New Roman" w:hAnsi="Times New Roman" w:cs="Times New Roman"/>
                <w:highlight w:val="white"/>
              </w:rPr>
            </w:pPr>
            <w:r w:rsidRPr="0020229F">
              <w:rPr>
                <w:rFonts w:ascii="Times New Roman" w:eastAsia="Times New Roman" w:hAnsi="Times New Roman" w:cs="Times New Roman"/>
                <w:highlight w:val="white"/>
              </w:rPr>
              <w:t>3.      What is important about the main challenges and opportunities you experienced?</w:t>
            </w:r>
          </w:p>
          <w:p w14:paraId="7F40128F" w14:textId="77777777" w:rsidR="00306DAA" w:rsidRPr="0020229F" w:rsidRDefault="00306DAA" w:rsidP="00306DAA">
            <w:pPr>
              <w:ind w:left="1440"/>
              <w:rPr>
                <w:rFonts w:ascii="Times New Roman" w:eastAsia="Times New Roman" w:hAnsi="Times New Roman" w:cs="Times New Roman"/>
                <w:highlight w:val="white"/>
              </w:rPr>
            </w:pPr>
            <w:r w:rsidRPr="0020229F">
              <w:rPr>
                <w:rFonts w:ascii="Times New Roman" w:eastAsia="Times New Roman" w:hAnsi="Times New Roman" w:cs="Times New Roman"/>
                <w:highlight w:val="white"/>
              </w:rPr>
              <w:t xml:space="preserve">4.      What is the role of social institutions—such as family, schools, religion, </w:t>
            </w:r>
            <w:proofErr w:type="spellStart"/>
            <w:r w:rsidRPr="0020229F">
              <w:rPr>
                <w:rFonts w:ascii="Times New Roman" w:eastAsia="Times New Roman" w:hAnsi="Times New Roman" w:cs="Times New Roman"/>
                <w:highlight w:val="white"/>
              </w:rPr>
              <w:t>etc</w:t>
            </w:r>
            <w:proofErr w:type="spellEnd"/>
            <w:r w:rsidRPr="0020229F">
              <w:rPr>
                <w:rFonts w:ascii="Times New Roman" w:eastAsia="Times New Roman" w:hAnsi="Times New Roman" w:cs="Times New Roman"/>
                <w:highlight w:val="white"/>
              </w:rPr>
              <w:t>--and your pathway to Guttman?</w:t>
            </w:r>
          </w:p>
          <w:p w14:paraId="5814FF0B" w14:textId="77777777" w:rsidR="00306DAA" w:rsidRPr="0020229F" w:rsidRDefault="00306DAA" w:rsidP="00306DAA">
            <w:pPr>
              <w:rPr>
                <w:rFonts w:ascii="Times New Roman" w:eastAsia="Times New Roman" w:hAnsi="Times New Roman" w:cs="Times New Roman"/>
                <w:highlight w:val="white"/>
              </w:rPr>
            </w:pPr>
          </w:p>
        </w:tc>
      </w:tr>
    </w:tbl>
    <w:p w14:paraId="02EA1C50" w14:textId="77777777" w:rsidR="00306DAA" w:rsidRPr="0020229F" w:rsidRDefault="00306DAA" w:rsidP="00306DAA">
      <w:pPr>
        <w:rPr>
          <w:rFonts w:ascii="Times New Roman" w:eastAsia="Times New Roman" w:hAnsi="Times New Roman" w:cs="Times New Roman"/>
        </w:rPr>
      </w:pPr>
    </w:p>
    <w:p w14:paraId="6A4CC8E8" w14:textId="77777777" w:rsidR="00306DAA" w:rsidRPr="0020229F" w:rsidRDefault="00306DAA" w:rsidP="00306DAA">
      <w:pPr>
        <w:rPr>
          <w:rFonts w:ascii="Times New Roman" w:eastAsia="Times New Roman" w:hAnsi="Times New Roman" w:cs="Times New Roman"/>
          <w:highlight w:val="white"/>
        </w:rPr>
      </w:pPr>
      <w:r>
        <w:rPr>
          <w:rFonts w:ascii="Times New Roman" w:eastAsia="Times New Roman" w:hAnsi="Times New Roman" w:cs="Times New Roman"/>
          <w:highlight w:val="white"/>
        </w:rPr>
        <w:t>Th</w:t>
      </w:r>
      <w:r w:rsidRPr="0020229F">
        <w:rPr>
          <w:rFonts w:ascii="Times New Roman" w:eastAsia="Times New Roman" w:hAnsi="Times New Roman" w:cs="Times New Roman"/>
          <w:highlight w:val="white"/>
        </w:rPr>
        <w:t xml:space="preserve">e </w:t>
      </w:r>
      <w:r>
        <w:rPr>
          <w:rFonts w:ascii="Times New Roman" w:eastAsia="Times New Roman" w:hAnsi="Times New Roman" w:cs="Times New Roman"/>
          <w:highlight w:val="white"/>
        </w:rPr>
        <w:t>structure</w:t>
      </w:r>
      <w:r w:rsidRPr="0020229F">
        <w:rPr>
          <w:rFonts w:ascii="Times New Roman" w:eastAsia="Times New Roman" w:hAnsi="Times New Roman" w:cs="Times New Roman"/>
          <w:highlight w:val="white"/>
        </w:rPr>
        <w:t xml:space="preserve"> of your autoethnography should be </w:t>
      </w:r>
      <w:proofErr w:type="gramStart"/>
      <w:r w:rsidRPr="0020229F">
        <w:rPr>
          <w:rFonts w:ascii="Times New Roman" w:eastAsia="Times New Roman" w:hAnsi="Times New Roman" w:cs="Times New Roman"/>
          <w:highlight w:val="white"/>
        </w:rPr>
        <w:t>similar to</w:t>
      </w:r>
      <w:proofErr w:type="gramEnd"/>
      <w:r w:rsidRPr="0020229F">
        <w:rPr>
          <w:rFonts w:ascii="Times New Roman" w:eastAsia="Times New Roman" w:hAnsi="Times New Roman" w:cs="Times New Roman"/>
          <w:highlight w:val="white"/>
        </w:rPr>
        <w:t xml:space="preserve"> how you might write up an ethnography. This will generally include one or more narrative stories that describe the </w:t>
      </w:r>
      <w:proofErr w:type="gramStart"/>
      <w:r w:rsidRPr="0020229F">
        <w:rPr>
          <w:rFonts w:ascii="Times New Roman" w:eastAsia="Times New Roman" w:hAnsi="Times New Roman" w:cs="Times New Roman"/>
          <w:highlight w:val="white"/>
        </w:rPr>
        <w:t>particular aspects</w:t>
      </w:r>
      <w:proofErr w:type="gramEnd"/>
      <w:r w:rsidRPr="0020229F">
        <w:rPr>
          <w:rFonts w:ascii="Times New Roman" w:eastAsia="Times New Roman" w:hAnsi="Times New Roman" w:cs="Times New Roman"/>
          <w:highlight w:val="white"/>
        </w:rPr>
        <w:t xml:space="preserve"> of your subculture or epiphany that are referred to in your assignment. You might include pictures or images that capture your experiences. As part of this assignment, you may find it useful to speak to family or friends who might also have insight into those parts of your life, examining journals, photos and pictures to collect information can also prov</w:t>
      </w:r>
      <w:r>
        <w:rPr>
          <w:rFonts w:ascii="Times New Roman" w:eastAsia="Times New Roman" w:hAnsi="Times New Roman" w:cs="Times New Roman"/>
          <w:highlight w:val="white"/>
        </w:rPr>
        <w:t>ide information.</w:t>
      </w:r>
    </w:p>
    <w:p w14:paraId="1EC44DB1" w14:textId="77777777" w:rsidR="00306DAA" w:rsidRPr="0020229F" w:rsidRDefault="00306DAA" w:rsidP="00306DAA">
      <w:pPr>
        <w:shd w:val="clear" w:color="auto" w:fill="FFFFFF"/>
        <w:ind w:firstLine="720"/>
        <w:rPr>
          <w:rFonts w:ascii="Times New Roman" w:eastAsia="Times New Roman" w:hAnsi="Times New Roman" w:cs="Times New Roman"/>
          <w:highlight w:val="white"/>
        </w:rPr>
      </w:pPr>
      <w:r w:rsidRPr="0020229F">
        <w:rPr>
          <w:rFonts w:ascii="Times New Roman" w:eastAsia="Times New Roman" w:hAnsi="Times New Roman" w:cs="Times New Roman"/>
          <w:highlight w:val="white"/>
        </w:rPr>
        <w:t xml:space="preserve">As you think about your autoethnography, you must also understand that memory is fallible. As a rule, people remember only a very small amount of what they experience. If this were not true, we would not be able to function </w:t>
      </w:r>
      <w:proofErr w:type="gramStart"/>
      <w:r w:rsidRPr="0020229F">
        <w:rPr>
          <w:rFonts w:ascii="Times New Roman" w:eastAsia="Times New Roman" w:hAnsi="Times New Roman" w:cs="Times New Roman"/>
          <w:highlight w:val="white"/>
        </w:rPr>
        <w:t>on a daily basis</w:t>
      </w:r>
      <w:proofErr w:type="gramEnd"/>
      <w:r w:rsidRPr="0020229F">
        <w:rPr>
          <w:rFonts w:ascii="Times New Roman" w:eastAsia="Times New Roman" w:hAnsi="Times New Roman" w:cs="Times New Roman"/>
          <w:highlight w:val="white"/>
        </w:rPr>
        <w:t xml:space="preserve">. Consider whether you have a memory of something that others dispute—maybe something that happened in childhood or an experience with a friend on which you disagree about what </w:t>
      </w:r>
      <w:proofErr w:type="gramStart"/>
      <w:r w:rsidRPr="0020229F">
        <w:rPr>
          <w:rFonts w:ascii="Times New Roman" w:eastAsia="Times New Roman" w:hAnsi="Times New Roman" w:cs="Times New Roman"/>
          <w:highlight w:val="white"/>
        </w:rPr>
        <w:t>actually occurred</w:t>
      </w:r>
      <w:proofErr w:type="gramEnd"/>
      <w:r w:rsidRPr="0020229F">
        <w:rPr>
          <w:rFonts w:ascii="Times New Roman" w:eastAsia="Times New Roman" w:hAnsi="Times New Roman" w:cs="Times New Roman"/>
          <w:highlight w:val="white"/>
        </w:rPr>
        <w:t xml:space="preserve">. </w:t>
      </w:r>
    </w:p>
    <w:p w14:paraId="6BE54EDF" w14:textId="77777777" w:rsidR="00306DAA" w:rsidRPr="0020229F" w:rsidRDefault="00306DAA" w:rsidP="00306DAA">
      <w:pPr>
        <w:shd w:val="clear" w:color="auto" w:fill="FFFFFF"/>
        <w:ind w:firstLine="720"/>
        <w:rPr>
          <w:rFonts w:ascii="Times New Roman" w:eastAsia="Times New Roman" w:hAnsi="Times New Roman" w:cs="Times New Roman"/>
          <w:highlight w:val="white"/>
        </w:rPr>
      </w:pPr>
      <w:r w:rsidRPr="0020229F">
        <w:rPr>
          <w:rFonts w:ascii="Times New Roman" w:eastAsia="Times New Roman" w:hAnsi="Times New Roman" w:cs="Times New Roman"/>
          <w:highlight w:val="white"/>
        </w:rPr>
        <w:t>It is important to establish that just because memories differ does not mean they are invalid. There is a fine line between remembering something to the best of our ability and willfully misremembering something. Talking to others who were involved in memories, if possible, can be helpful in fleshing out details</w:t>
      </w:r>
      <w:proofErr w:type="gramStart"/>
      <w:r w:rsidRPr="0020229F">
        <w:rPr>
          <w:rFonts w:ascii="Times New Roman" w:eastAsia="Times New Roman" w:hAnsi="Times New Roman" w:cs="Times New Roman"/>
          <w:highlight w:val="white"/>
        </w:rPr>
        <w:t>. .</w:t>
      </w:r>
      <w:proofErr w:type="gramEnd"/>
      <w:r w:rsidRPr="0020229F">
        <w:rPr>
          <w:rFonts w:ascii="Times New Roman" w:eastAsia="Times New Roman" w:hAnsi="Times New Roman" w:cs="Times New Roman"/>
          <w:highlight w:val="white"/>
        </w:rPr>
        <w:t xml:space="preserve"> Since memory is fallible, interviewing others who were present at important events</w:t>
      </w:r>
      <w:r>
        <w:rPr>
          <w:rFonts w:ascii="Times New Roman" w:eastAsia="Times New Roman" w:hAnsi="Times New Roman" w:cs="Times New Roman"/>
          <w:highlight w:val="white"/>
        </w:rPr>
        <w:t>,</w:t>
      </w:r>
      <w:r w:rsidRPr="0020229F">
        <w:rPr>
          <w:rFonts w:ascii="Times New Roman" w:eastAsia="Times New Roman" w:hAnsi="Times New Roman" w:cs="Times New Roman"/>
          <w:highlight w:val="white"/>
        </w:rPr>
        <w:t xml:space="preserve"> speaking to multiple people directly involved in the memories</w:t>
      </w:r>
      <w:r>
        <w:rPr>
          <w:rFonts w:ascii="Times New Roman" w:eastAsia="Times New Roman" w:hAnsi="Times New Roman" w:cs="Times New Roman"/>
          <w:highlight w:val="white"/>
        </w:rPr>
        <w:t xml:space="preserve"> or reading journals or other first-hand accounts</w:t>
      </w:r>
      <w:r w:rsidRPr="0020229F">
        <w:rPr>
          <w:rFonts w:ascii="Times New Roman" w:eastAsia="Times New Roman" w:hAnsi="Times New Roman" w:cs="Times New Roman"/>
          <w:highlight w:val="white"/>
        </w:rPr>
        <w:t xml:space="preserve"> can be an important part of the writing. It may come as a surprise that writing about your own life can require research.</w:t>
      </w:r>
      <w:r>
        <w:rPr>
          <w:rStyle w:val="FootnoteReference"/>
          <w:rFonts w:ascii="Times New Roman" w:eastAsia="Times New Roman" w:hAnsi="Times New Roman" w:cs="Times New Roman"/>
          <w:highlight w:val="white"/>
        </w:rPr>
        <w:footnoteReference w:id="10"/>
      </w:r>
    </w:p>
    <w:p w14:paraId="570FBD77" w14:textId="77777777" w:rsidR="00306DAA" w:rsidRPr="0020229F" w:rsidRDefault="00306DAA" w:rsidP="00306DAA">
      <w:pPr>
        <w:ind w:firstLine="720"/>
        <w:rPr>
          <w:rFonts w:ascii="Times New Roman" w:eastAsia="Times New Roman" w:hAnsi="Times New Roman" w:cs="Times New Roman"/>
        </w:rPr>
      </w:pPr>
      <w:r w:rsidRPr="0020229F">
        <w:rPr>
          <w:rFonts w:ascii="Times New Roman" w:eastAsia="Times New Roman" w:hAnsi="Times New Roman" w:cs="Times New Roman"/>
        </w:rPr>
        <w:t>Once you have your data, you want to begin to organize it. There are two general ways to organize your autoethnography</w:t>
      </w:r>
      <w:r>
        <w:rPr>
          <w:rFonts w:ascii="Times New Roman" w:eastAsia="Times New Roman" w:hAnsi="Times New Roman" w:cs="Times New Roman"/>
        </w:rPr>
        <w:t>—</w:t>
      </w:r>
      <w:r w:rsidRPr="0020229F">
        <w:rPr>
          <w:rFonts w:ascii="Times New Roman" w:eastAsia="Times New Roman" w:hAnsi="Times New Roman" w:cs="Times New Roman"/>
        </w:rPr>
        <w:t>chronologically</w:t>
      </w:r>
      <w:r>
        <w:rPr>
          <w:rFonts w:ascii="Times New Roman" w:eastAsia="Times New Roman" w:hAnsi="Times New Roman" w:cs="Times New Roman"/>
        </w:rPr>
        <w:t xml:space="preserve"> </w:t>
      </w:r>
      <w:r w:rsidRPr="0020229F">
        <w:rPr>
          <w:rFonts w:ascii="Times New Roman" w:eastAsia="Times New Roman" w:hAnsi="Times New Roman" w:cs="Times New Roman"/>
        </w:rPr>
        <w:t xml:space="preserve">and by theme. If you are describing your path to or through something, you will likely want to write this chronologically. You </w:t>
      </w:r>
      <w:r>
        <w:rPr>
          <w:rFonts w:ascii="Times New Roman" w:eastAsia="Times New Roman" w:hAnsi="Times New Roman" w:cs="Times New Roman"/>
        </w:rPr>
        <w:t>sh</w:t>
      </w:r>
      <w:r w:rsidRPr="0020229F">
        <w:rPr>
          <w:rFonts w:ascii="Times New Roman" w:eastAsia="Times New Roman" w:hAnsi="Times New Roman" w:cs="Times New Roman"/>
        </w:rPr>
        <w:t xml:space="preserve">ould begin with the earliest event, person or activity and share a story </w:t>
      </w:r>
      <w:r>
        <w:rPr>
          <w:rFonts w:ascii="Times New Roman" w:eastAsia="Times New Roman" w:hAnsi="Times New Roman" w:cs="Times New Roman"/>
        </w:rPr>
        <w:t>or multiple stories through</w:t>
      </w:r>
      <w:r w:rsidRPr="0020229F">
        <w:rPr>
          <w:rFonts w:ascii="Times New Roman" w:eastAsia="Times New Roman" w:hAnsi="Times New Roman" w:cs="Times New Roman"/>
        </w:rPr>
        <w:t xml:space="preserve"> to the current time.</w:t>
      </w:r>
      <w:r>
        <w:rPr>
          <w:rStyle w:val="FootnoteReference"/>
          <w:rFonts w:ascii="Times New Roman" w:eastAsia="Times New Roman" w:hAnsi="Times New Roman" w:cs="Times New Roman"/>
        </w:rPr>
        <w:footnoteReference w:id="11"/>
      </w:r>
    </w:p>
    <w:p w14:paraId="11E47332" w14:textId="77777777" w:rsidR="00306DAA" w:rsidRPr="0020229F" w:rsidRDefault="00306DAA" w:rsidP="00306DAA">
      <w:pPr>
        <w:ind w:firstLine="720"/>
        <w:rPr>
          <w:rFonts w:ascii="Times New Roman" w:eastAsia="Times New Roman" w:hAnsi="Times New Roman" w:cs="Times New Roman"/>
        </w:rPr>
      </w:pPr>
      <w:r w:rsidRPr="0020229F">
        <w:rPr>
          <w:rFonts w:ascii="Times New Roman" w:eastAsia="Times New Roman" w:hAnsi="Times New Roman" w:cs="Times New Roman"/>
        </w:rPr>
        <w:t xml:space="preserve">If you are not writing your essay as building up to something or this is later draft that includes some analysis or examination of social institutions, you might want to organize your paper by theme. In this case, you might collect </w:t>
      </w:r>
      <w:proofErr w:type="gramStart"/>
      <w:r w:rsidRPr="0020229F">
        <w:rPr>
          <w:rFonts w:ascii="Times New Roman" w:eastAsia="Times New Roman" w:hAnsi="Times New Roman" w:cs="Times New Roman"/>
        </w:rPr>
        <w:t>particular examples</w:t>
      </w:r>
      <w:proofErr w:type="gramEnd"/>
      <w:r w:rsidRPr="0020229F">
        <w:rPr>
          <w:rFonts w:ascii="Times New Roman" w:eastAsia="Times New Roman" w:hAnsi="Times New Roman" w:cs="Times New Roman"/>
        </w:rPr>
        <w:t xml:space="preserve"> that share a particular pattern or connect to a theme.</w:t>
      </w:r>
    </w:p>
    <w:p w14:paraId="04240D66" w14:textId="77777777" w:rsidR="00306DAA" w:rsidRPr="0020229F" w:rsidRDefault="00306DAA" w:rsidP="00306DAA">
      <w:pPr>
        <w:rPr>
          <w:rFonts w:ascii="Times New Roman" w:eastAsia="Times New Roman" w:hAnsi="Times New Roman" w:cs="Times New Roman"/>
        </w:rPr>
      </w:pPr>
    </w:p>
    <w:p w14:paraId="7622B96C" w14:textId="77777777" w:rsidR="00306DAA" w:rsidRPr="0020229F" w:rsidRDefault="00306DAA" w:rsidP="00306DAA">
      <w:pPr>
        <w:pStyle w:val="Heading2"/>
        <w:spacing w:before="0"/>
        <w:rPr>
          <w:rFonts w:ascii="Times New Roman" w:hAnsi="Times New Roman" w:cs="Times New Roman"/>
        </w:rPr>
      </w:pPr>
      <w:r>
        <w:rPr>
          <w:rFonts w:ascii="Times New Roman" w:hAnsi="Times New Roman" w:cs="Times New Roman"/>
        </w:rPr>
        <w:t>Ethnographic Narratives</w:t>
      </w:r>
    </w:p>
    <w:p w14:paraId="2D306D5B"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The forms of autoethnography also differ in how much emphasis is placed on the study of others, the researcher's self and interaction with others, traditional analysis, and the interview context, as well as on power relationships.</w:t>
      </w:r>
      <w:r>
        <w:rPr>
          <w:rStyle w:val="FootnoteReference"/>
          <w:rFonts w:ascii="Times New Roman" w:eastAsia="Times New Roman" w:hAnsi="Times New Roman" w:cs="Times New Roman"/>
        </w:rPr>
        <w:footnoteReference w:id="12"/>
      </w:r>
      <w:r w:rsidRPr="0020229F">
        <w:rPr>
          <w:rFonts w:ascii="Times New Roman" w:eastAsia="Times New Roman" w:hAnsi="Times New Roman" w:cs="Times New Roman"/>
        </w:rPr>
        <w:t xml:space="preserve"> Many assignments in a class are likely to focus more </w:t>
      </w:r>
      <w:r w:rsidRPr="0020229F">
        <w:rPr>
          <w:rFonts w:ascii="Times New Roman" w:eastAsia="Times New Roman" w:hAnsi="Times New Roman" w:cs="Times New Roman"/>
        </w:rPr>
        <w:lastRenderedPageBreak/>
        <w:t xml:space="preserve">on the self but others might ask you to pull on data outside of your own experiences. These are built </w:t>
      </w:r>
      <w:proofErr w:type="gramStart"/>
      <w:r w:rsidRPr="0020229F">
        <w:rPr>
          <w:rFonts w:ascii="Times New Roman" w:eastAsia="Times New Roman" w:hAnsi="Times New Roman" w:cs="Times New Roman"/>
        </w:rPr>
        <w:t>off of</w:t>
      </w:r>
      <w:proofErr w:type="gramEnd"/>
      <w:r w:rsidRPr="0020229F">
        <w:rPr>
          <w:rFonts w:ascii="Times New Roman" w:eastAsia="Times New Roman" w:hAnsi="Times New Roman" w:cs="Times New Roman"/>
        </w:rPr>
        <w:t xml:space="preserve"> different structures of ethnographic </w:t>
      </w:r>
      <w:r>
        <w:rPr>
          <w:rFonts w:ascii="Times New Roman" w:eastAsia="Times New Roman" w:hAnsi="Times New Roman" w:cs="Times New Roman"/>
        </w:rPr>
        <w:t>research and the ways in which narratives are composed</w:t>
      </w:r>
      <w:r w:rsidRPr="0020229F">
        <w:rPr>
          <w:rFonts w:ascii="Times New Roman" w:eastAsia="Times New Roman" w:hAnsi="Times New Roman" w:cs="Times New Roman"/>
        </w:rPr>
        <w:t>.</w:t>
      </w:r>
      <w:r>
        <w:rPr>
          <w:rStyle w:val="FootnoteReference"/>
          <w:rFonts w:ascii="Times New Roman" w:eastAsia="Times New Roman" w:hAnsi="Times New Roman" w:cs="Times New Roman"/>
        </w:rPr>
        <w:footnoteReference w:id="13"/>
      </w:r>
    </w:p>
    <w:p w14:paraId="35DFFF1F"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Indigenous/native ethnographies, for example, develop from colonized or economically subordinated people, and are used to address and disrupt power in research, particularly a (outside) researcher's right and authority to study (exotic) others. Once at the service of the (White, masculine, heterosexual, middle/upper-classed, Christian,</w:t>
      </w:r>
      <w:r>
        <w:rPr>
          <w:rFonts w:ascii="Times New Roman" w:eastAsia="Times New Roman" w:hAnsi="Times New Roman" w:cs="Times New Roman"/>
        </w:rPr>
        <w:t xml:space="preserve"> cis-gendered,</w:t>
      </w:r>
      <w:r w:rsidRPr="0020229F">
        <w:rPr>
          <w:rFonts w:ascii="Times New Roman" w:eastAsia="Times New Roman" w:hAnsi="Times New Roman" w:cs="Times New Roman"/>
        </w:rPr>
        <w:t xml:space="preserve"> able-bodied) ethnographer, indigenous/native ethnographers now work to construct their own personal and cultural stories; they no longer find (forced) subjugation excusable (see </w:t>
      </w:r>
      <w:r>
        <w:rPr>
          <w:rFonts w:ascii="Times New Roman" w:eastAsia="Times New Roman" w:hAnsi="Times New Roman" w:cs="Times New Roman"/>
        </w:rPr>
        <w:t>Denzin</w:t>
      </w:r>
      <w:r w:rsidRPr="0020229F">
        <w:rPr>
          <w:rFonts w:ascii="Times New Roman" w:eastAsia="Times New Roman" w:hAnsi="Times New Roman" w:cs="Times New Roman"/>
        </w:rPr>
        <w:t xml:space="preserve">, </w:t>
      </w:r>
      <w:r>
        <w:rPr>
          <w:rFonts w:ascii="Times New Roman" w:eastAsia="Times New Roman" w:hAnsi="Times New Roman" w:cs="Times New Roman"/>
        </w:rPr>
        <w:t>Lincoln</w:t>
      </w:r>
      <w:r w:rsidRPr="0020229F">
        <w:rPr>
          <w:rFonts w:ascii="Times New Roman" w:eastAsia="Times New Roman" w:hAnsi="Times New Roman" w:cs="Times New Roman"/>
        </w:rPr>
        <w:t xml:space="preserve"> &amp; </w:t>
      </w:r>
      <w:r>
        <w:rPr>
          <w:rFonts w:ascii="Times New Roman" w:eastAsia="Times New Roman" w:hAnsi="Times New Roman" w:cs="Times New Roman"/>
        </w:rPr>
        <w:t>Smith</w:t>
      </w:r>
      <w:r w:rsidRPr="0020229F">
        <w:rPr>
          <w:rFonts w:ascii="Times New Roman" w:eastAsia="Times New Roman" w:hAnsi="Times New Roman" w:cs="Times New Roman"/>
        </w:rPr>
        <w:t>, 2008).</w:t>
      </w:r>
      <w:r>
        <w:rPr>
          <w:rStyle w:val="FootnoteReference"/>
          <w:rFonts w:ascii="Times New Roman" w:eastAsia="Times New Roman" w:hAnsi="Times New Roman" w:cs="Times New Roman"/>
        </w:rPr>
        <w:footnoteReference w:id="14"/>
      </w:r>
    </w:p>
    <w:p w14:paraId="6D4B118A"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Narrative ethnographies refer to texts presented in the form of stories that incorporate the ethnographer's experiences into the ethnographic descriptions and analysis of others. Here the emphasis is on the ethnographic study of others, which is accomplished partly by attending to encounters between the narrator and members of the groups being studied (</w:t>
      </w:r>
      <w:proofErr w:type="spellStart"/>
      <w:r>
        <w:rPr>
          <w:rFonts w:ascii="Times New Roman" w:eastAsia="Times New Roman" w:hAnsi="Times New Roman" w:cs="Times New Roman"/>
        </w:rPr>
        <w:t>Tedlock</w:t>
      </w:r>
      <w:proofErr w:type="spellEnd"/>
      <w:r w:rsidRPr="0020229F">
        <w:rPr>
          <w:rFonts w:ascii="Times New Roman" w:eastAsia="Times New Roman" w:hAnsi="Times New Roman" w:cs="Times New Roman"/>
        </w:rPr>
        <w:t>, 1991), and the narrative often intersects with analyses of patterns and processes.</w:t>
      </w:r>
    </w:p>
    <w:p w14:paraId="73ECCDB2"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Reflexive, dyadic interviews focus on the interactively produced meanings and emotional dynamics of the interview itself. Though the focus is on the participant and her or his story, the words, thoughts, and feelings of the researcher also are considered, e.g., personal motivation for doing a project, knowledge of the topics discussed, emotional responses to an interview, and ways in which the interviewer may have been changed by the process of interviewing. Even though the researcher's experience isn't the </w:t>
      </w:r>
      <w:proofErr w:type="gramStart"/>
      <w:r w:rsidRPr="0020229F">
        <w:rPr>
          <w:rFonts w:ascii="Times New Roman" w:eastAsia="Times New Roman" w:hAnsi="Times New Roman" w:cs="Times New Roman"/>
        </w:rPr>
        <w:t>main focus</w:t>
      </w:r>
      <w:proofErr w:type="gramEnd"/>
      <w:r w:rsidRPr="0020229F">
        <w:rPr>
          <w:rFonts w:ascii="Times New Roman" w:eastAsia="Times New Roman" w:hAnsi="Times New Roman" w:cs="Times New Roman"/>
        </w:rPr>
        <w:t>, personal reflection adds context and layers to the story being told about participants (</w:t>
      </w:r>
      <w:r>
        <w:rPr>
          <w:rFonts w:ascii="Times New Roman" w:eastAsia="Times New Roman" w:hAnsi="Times New Roman" w:cs="Times New Roman"/>
        </w:rPr>
        <w:t>Ellis</w:t>
      </w:r>
      <w:r w:rsidRPr="0020229F">
        <w:rPr>
          <w:rFonts w:ascii="Times New Roman" w:eastAsia="Times New Roman" w:hAnsi="Times New Roman" w:cs="Times New Roman"/>
        </w:rPr>
        <w:t>, 2004).</w:t>
      </w:r>
    </w:p>
    <w:p w14:paraId="5E9C1B86"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Reflexive ethnographies document ways a researcher changes as a result of doing fieldwork. Reflexive/narrative ethnographies exist on a continuum ranging from starting research from the ethnographer's biography, to the ethnographer studying her or his life alongside cultural members' lives, to ethnographic memoirs (</w:t>
      </w:r>
      <w:r>
        <w:rPr>
          <w:rFonts w:ascii="Times New Roman" w:eastAsia="Times New Roman" w:hAnsi="Times New Roman" w:cs="Times New Roman"/>
        </w:rPr>
        <w:t>Ellis</w:t>
      </w:r>
      <w:r w:rsidRPr="0020229F">
        <w:rPr>
          <w:rFonts w:ascii="Times New Roman" w:eastAsia="Times New Roman" w:hAnsi="Times New Roman" w:cs="Times New Roman"/>
        </w:rPr>
        <w:t>, 2004, p.50) or "confessional tales" (V</w:t>
      </w:r>
      <w:r>
        <w:rPr>
          <w:rFonts w:ascii="Times New Roman" w:eastAsia="Times New Roman" w:hAnsi="Times New Roman" w:cs="Times New Roman"/>
        </w:rPr>
        <w:t xml:space="preserve">an </w:t>
      </w:r>
      <w:proofErr w:type="spellStart"/>
      <w:r w:rsidRPr="0020229F">
        <w:rPr>
          <w:rFonts w:ascii="Times New Roman" w:eastAsia="Times New Roman" w:hAnsi="Times New Roman" w:cs="Times New Roman"/>
        </w:rPr>
        <w:t>M</w:t>
      </w:r>
      <w:r>
        <w:rPr>
          <w:rFonts w:ascii="Times New Roman" w:eastAsia="Times New Roman" w:hAnsi="Times New Roman" w:cs="Times New Roman"/>
        </w:rPr>
        <w:t>aanen</w:t>
      </w:r>
      <w:proofErr w:type="spellEnd"/>
      <w:r w:rsidRPr="0020229F">
        <w:rPr>
          <w:rFonts w:ascii="Times New Roman" w:eastAsia="Times New Roman" w:hAnsi="Times New Roman" w:cs="Times New Roman"/>
        </w:rPr>
        <w:t>, 1988) where the ethnographer's backstage research endeavors become the focus of investigation (</w:t>
      </w:r>
      <w:r>
        <w:rPr>
          <w:rFonts w:ascii="Times New Roman" w:eastAsia="Times New Roman" w:hAnsi="Times New Roman" w:cs="Times New Roman"/>
        </w:rPr>
        <w:t>Ellis</w:t>
      </w:r>
      <w:r w:rsidRPr="0020229F">
        <w:rPr>
          <w:rFonts w:ascii="Times New Roman" w:eastAsia="Times New Roman" w:hAnsi="Times New Roman" w:cs="Times New Roman"/>
        </w:rPr>
        <w:t>, 2004).</w:t>
      </w:r>
    </w:p>
    <w:p w14:paraId="25D8D93E"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Layered accounts often focus on the author's experience alongside data, abstract analysis, and relevant literature. This form emphasizes the procedural nature of research. </w:t>
      </w:r>
      <w:proofErr w:type="gramStart"/>
      <w:r w:rsidRPr="0020229F">
        <w:rPr>
          <w:rFonts w:ascii="Times New Roman" w:eastAsia="Times New Roman" w:hAnsi="Times New Roman" w:cs="Times New Roman"/>
        </w:rPr>
        <w:t>Similar to</w:t>
      </w:r>
      <w:proofErr w:type="gramEnd"/>
      <w:r w:rsidRPr="0020229F">
        <w:rPr>
          <w:rFonts w:ascii="Times New Roman" w:eastAsia="Times New Roman" w:hAnsi="Times New Roman" w:cs="Times New Roman"/>
        </w:rPr>
        <w:t xml:space="preserve"> grounded theory, layered accounts illustrate how "data collection and analysis proceed simultaneously" (C</w:t>
      </w:r>
      <w:r>
        <w:rPr>
          <w:rFonts w:ascii="Times New Roman" w:eastAsia="Times New Roman" w:hAnsi="Times New Roman" w:cs="Times New Roman"/>
        </w:rPr>
        <w:t>harmaz</w:t>
      </w:r>
      <w:r w:rsidRPr="0020229F">
        <w:rPr>
          <w:rFonts w:ascii="Times New Roman" w:eastAsia="Times New Roman" w:hAnsi="Times New Roman" w:cs="Times New Roman"/>
        </w:rPr>
        <w:t>, 1983, p.110) and frame existing research as a "source of questions and comparisons" rather than a "measure of truth" (p.117). But unlike grounded theory, layered accounts use vignettes, reflexivity, multiple voices, and introspection (</w:t>
      </w:r>
      <w:r>
        <w:rPr>
          <w:rFonts w:ascii="Times New Roman" w:eastAsia="Times New Roman" w:hAnsi="Times New Roman" w:cs="Times New Roman"/>
        </w:rPr>
        <w:t>Ellis</w:t>
      </w:r>
      <w:r w:rsidRPr="0020229F">
        <w:rPr>
          <w:rFonts w:ascii="Times New Roman" w:eastAsia="Times New Roman" w:hAnsi="Times New Roman" w:cs="Times New Roman"/>
        </w:rPr>
        <w:t>, 1991) to "invoke" readers to enter into the "emergent experience" of doing and writing research (</w:t>
      </w:r>
      <w:proofErr w:type="spellStart"/>
      <w:r w:rsidRPr="0020229F">
        <w:rPr>
          <w:rFonts w:ascii="Times New Roman" w:eastAsia="Times New Roman" w:hAnsi="Times New Roman" w:cs="Times New Roman"/>
        </w:rPr>
        <w:t>R</w:t>
      </w:r>
      <w:r>
        <w:rPr>
          <w:rFonts w:ascii="Times New Roman" w:eastAsia="Times New Roman" w:hAnsi="Times New Roman" w:cs="Times New Roman"/>
        </w:rPr>
        <w:t>onai</w:t>
      </w:r>
      <w:proofErr w:type="spellEnd"/>
      <w:r w:rsidRPr="0020229F">
        <w:rPr>
          <w:rFonts w:ascii="Times New Roman" w:eastAsia="Times New Roman" w:hAnsi="Times New Roman" w:cs="Times New Roman"/>
        </w:rPr>
        <w:t>, 1992, p.123), conceive of identity as an "emergent process" (Rambo, 2005, p.583), and consider evocative, concrete texts to be as important as abstract analyses (</w:t>
      </w:r>
      <w:proofErr w:type="spellStart"/>
      <w:r w:rsidRPr="0020229F">
        <w:rPr>
          <w:rFonts w:ascii="Times New Roman" w:eastAsia="Times New Roman" w:hAnsi="Times New Roman" w:cs="Times New Roman"/>
        </w:rPr>
        <w:t>R</w:t>
      </w:r>
      <w:r>
        <w:rPr>
          <w:rFonts w:ascii="Times New Roman" w:eastAsia="Times New Roman" w:hAnsi="Times New Roman" w:cs="Times New Roman"/>
        </w:rPr>
        <w:t>onai</w:t>
      </w:r>
      <w:proofErr w:type="spellEnd"/>
      <w:r w:rsidRPr="0020229F">
        <w:rPr>
          <w:rFonts w:ascii="Times New Roman" w:eastAsia="Times New Roman" w:hAnsi="Times New Roman" w:cs="Times New Roman"/>
        </w:rPr>
        <w:t>, 1995, 1996).</w:t>
      </w:r>
    </w:p>
    <w:p w14:paraId="0B12F924"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Interactive interviews</w:t>
      </w:r>
      <w:r w:rsidRPr="0020229F">
        <w:rPr>
          <w:rFonts w:ascii="Times New Roman" w:eastAsia="Times New Roman" w:hAnsi="Times New Roman" w:cs="Times New Roman"/>
          <w:b/>
        </w:rPr>
        <w:t xml:space="preserve"> </w:t>
      </w:r>
      <w:r w:rsidRPr="0020229F">
        <w:rPr>
          <w:rFonts w:ascii="Times New Roman" w:eastAsia="Times New Roman" w:hAnsi="Times New Roman" w:cs="Times New Roman"/>
        </w:rPr>
        <w:t>provide an "in-depth and intimate understanding of people's experiences with emotionally charged and sensitive topics" (</w:t>
      </w:r>
      <w:r>
        <w:rPr>
          <w:rFonts w:ascii="Times New Roman" w:eastAsia="Times New Roman" w:hAnsi="Times New Roman" w:cs="Times New Roman"/>
        </w:rPr>
        <w:t>Ellis</w:t>
      </w:r>
      <w:r w:rsidRPr="0020229F">
        <w:rPr>
          <w:rFonts w:ascii="Times New Roman" w:eastAsia="Times New Roman" w:hAnsi="Times New Roman" w:cs="Times New Roman"/>
        </w:rPr>
        <w:t>, K</w:t>
      </w:r>
      <w:r>
        <w:rPr>
          <w:rFonts w:ascii="Times New Roman" w:eastAsia="Times New Roman" w:hAnsi="Times New Roman" w:cs="Times New Roman"/>
        </w:rPr>
        <w:t>iesinger</w:t>
      </w:r>
      <w:r w:rsidRPr="0020229F">
        <w:rPr>
          <w:rFonts w:ascii="Times New Roman" w:eastAsia="Times New Roman" w:hAnsi="Times New Roman" w:cs="Times New Roman"/>
        </w:rPr>
        <w:t xml:space="preserve"> &amp; </w:t>
      </w:r>
      <w:proofErr w:type="spellStart"/>
      <w:r>
        <w:rPr>
          <w:rFonts w:ascii="Times New Roman" w:eastAsia="Times New Roman" w:hAnsi="Times New Roman" w:cs="Times New Roman"/>
        </w:rPr>
        <w:t>Tillmann</w:t>
      </w:r>
      <w:proofErr w:type="spellEnd"/>
      <w:r w:rsidRPr="0020229F">
        <w:rPr>
          <w:rFonts w:ascii="Times New Roman" w:eastAsia="Times New Roman" w:hAnsi="Times New Roman" w:cs="Times New Roman"/>
        </w:rPr>
        <w:t>-</w:t>
      </w:r>
      <w:r>
        <w:rPr>
          <w:rFonts w:ascii="Times New Roman" w:eastAsia="Times New Roman" w:hAnsi="Times New Roman" w:cs="Times New Roman"/>
        </w:rPr>
        <w:t>Healy</w:t>
      </w:r>
      <w:r w:rsidRPr="0020229F">
        <w:rPr>
          <w:rFonts w:ascii="Times New Roman" w:eastAsia="Times New Roman" w:hAnsi="Times New Roman" w:cs="Times New Roman"/>
        </w:rPr>
        <w:t xml:space="preserve">, 1997, p.121). Interactive interviews are collaborative endeavors between researchers and participants, research activities in which researchers and participants—one and the same—probe together about issues that transpire, in conversation, about </w:t>
      </w:r>
      <w:proofErr w:type="gramStart"/>
      <w:r w:rsidRPr="0020229F">
        <w:rPr>
          <w:rFonts w:ascii="Times New Roman" w:eastAsia="Times New Roman" w:hAnsi="Times New Roman" w:cs="Times New Roman"/>
        </w:rPr>
        <w:t>particular topics</w:t>
      </w:r>
      <w:proofErr w:type="gramEnd"/>
      <w:r w:rsidRPr="0020229F">
        <w:rPr>
          <w:rFonts w:ascii="Times New Roman" w:eastAsia="Times New Roman" w:hAnsi="Times New Roman" w:cs="Times New Roman"/>
        </w:rPr>
        <w:t xml:space="preserve"> (e.g., eating </w:t>
      </w:r>
      <w:r w:rsidRPr="0020229F">
        <w:rPr>
          <w:rFonts w:ascii="Times New Roman" w:eastAsia="Times New Roman" w:hAnsi="Times New Roman" w:cs="Times New Roman"/>
        </w:rPr>
        <w:lastRenderedPageBreak/>
        <w:t>disorders). Interactive interviews usually consist of multiple interview sessions, and, unlike traditional one-on-one interviews with strangers, are situated within the context of emerging and well-established relationships among participants and interviewers (</w:t>
      </w:r>
      <w:r>
        <w:rPr>
          <w:rFonts w:ascii="Times New Roman" w:eastAsia="Times New Roman" w:hAnsi="Times New Roman" w:cs="Times New Roman"/>
        </w:rPr>
        <w:t>Adams</w:t>
      </w:r>
      <w:r w:rsidRPr="0020229F">
        <w:rPr>
          <w:rFonts w:ascii="Times New Roman" w:eastAsia="Times New Roman" w:hAnsi="Times New Roman" w:cs="Times New Roman"/>
        </w:rPr>
        <w:t>, 2008). The emphasis in these research contexts is on what can be learned from interaction within the interview setting as well as on the stories that each person brings to the research encounter (</w:t>
      </w:r>
      <w:proofErr w:type="spellStart"/>
      <w:r>
        <w:rPr>
          <w:rFonts w:ascii="Times New Roman" w:eastAsia="Times New Roman" w:hAnsi="Times New Roman" w:cs="Times New Roman"/>
        </w:rPr>
        <w:t>Mey</w:t>
      </w:r>
      <w:proofErr w:type="spellEnd"/>
      <w:r w:rsidRPr="0020229F">
        <w:rPr>
          <w:rFonts w:ascii="Times New Roman" w:eastAsia="Times New Roman" w:hAnsi="Times New Roman" w:cs="Times New Roman"/>
        </w:rPr>
        <w:t xml:space="preserve"> &amp; </w:t>
      </w:r>
      <w:proofErr w:type="spellStart"/>
      <w:r w:rsidRPr="0020229F">
        <w:rPr>
          <w:rFonts w:ascii="Times New Roman" w:eastAsia="Times New Roman" w:hAnsi="Times New Roman" w:cs="Times New Roman"/>
        </w:rPr>
        <w:t>M</w:t>
      </w:r>
      <w:r>
        <w:rPr>
          <w:rFonts w:ascii="Times New Roman" w:eastAsia="Times New Roman" w:hAnsi="Times New Roman" w:cs="Times New Roman"/>
        </w:rPr>
        <w:t>ruck</w:t>
      </w:r>
      <w:proofErr w:type="spellEnd"/>
      <w:r w:rsidRPr="0020229F">
        <w:rPr>
          <w:rFonts w:ascii="Times New Roman" w:eastAsia="Times New Roman" w:hAnsi="Times New Roman" w:cs="Times New Roman"/>
        </w:rPr>
        <w:t>, 2010).</w:t>
      </w:r>
    </w:p>
    <w:p w14:paraId="71EC96D8" w14:textId="77777777" w:rsidR="00306DAA" w:rsidRPr="0020229F" w:rsidRDefault="00306DAA" w:rsidP="00306DAA">
      <w:pPr>
        <w:shd w:val="clear" w:color="auto" w:fill="FFFFFF"/>
        <w:ind w:firstLine="720"/>
        <w:rPr>
          <w:rFonts w:ascii="Times New Roman" w:eastAsia="Times New Roman" w:hAnsi="Times New Roman" w:cs="Times New Roman"/>
        </w:rPr>
      </w:pPr>
      <w:proofErr w:type="gramStart"/>
      <w:r w:rsidRPr="0020229F">
        <w:rPr>
          <w:rFonts w:ascii="Times New Roman" w:eastAsia="Times New Roman" w:hAnsi="Times New Roman" w:cs="Times New Roman"/>
        </w:rPr>
        <w:t>Similar to</w:t>
      </w:r>
      <w:proofErr w:type="gramEnd"/>
      <w:r w:rsidRPr="0020229F">
        <w:rPr>
          <w:rFonts w:ascii="Times New Roman" w:eastAsia="Times New Roman" w:hAnsi="Times New Roman" w:cs="Times New Roman"/>
        </w:rPr>
        <w:t xml:space="preserve"> interactive interviews, community autoethnographies use the personal experience of researchers-in-collaboration to illustrate how a community manifests particular social/cultural issues (e.g., whiteness; </w:t>
      </w:r>
      <w:proofErr w:type="spellStart"/>
      <w:r w:rsidRPr="0020229F">
        <w:rPr>
          <w:rFonts w:ascii="Times New Roman" w:eastAsia="Times New Roman" w:hAnsi="Times New Roman" w:cs="Times New Roman"/>
        </w:rPr>
        <w:t>T</w:t>
      </w:r>
      <w:r>
        <w:rPr>
          <w:rFonts w:ascii="Times New Roman" w:eastAsia="Times New Roman" w:hAnsi="Times New Roman" w:cs="Times New Roman"/>
        </w:rPr>
        <w:t>oyosaki</w:t>
      </w:r>
      <w:proofErr w:type="spellEnd"/>
      <w:r w:rsidRPr="0020229F">
        <w:rPr>
          <w:rFonts w:ascii="Times New Roman" w:eastAsia="Times New Roman" w:hAnsi="Times New Roman" w:cs="Times New Roman"/>
        </w:rPr>
        <w:t xml:space="preserve">, </w:t>
      </w:r>
      <w:proofErr w:type="spellStart"/>
      <w:r w:rsidRPr="0020229F">
        <w:rPr>
          <w:rFonts w:ascii="Times New Roman" w:eastAsia="Times New Roman" w:hAnsi="Times New Roman" w:cs="Times New Roman"/>
        </w:rPr>
        <w:t>P</w:t>
      </w:r>
      <w:r>
        <w:rPr>
          <w:rFonts w:ascii="Times New Roman" w:eastAsia="Times New Roman" w:hAnsi="Times New Roman" w:cs="Times New Roman"/>
        </w:rPr>
        <w:t>ensoneau</w:t>
      </w:r>
      <w:proofErr w:type="spellEnd"/>
      <w:r w:rsidRPr="0020229F">
        <w:rPr>
          <w:rFonts w:ascii="Times New Roman" w:eastAsia="Times New Roman" w:hAnsi="Times New Roman" w:cs="Times New Roman"/>
        </w:rPr>
        <w:t>-C</w:t>
      </w:r>
      <w:r>
        <w:rPr>
          <w:rFonts w:ascii="Times New Roman" w:eastAsia="Times New Roman" w:hAnsi="Times New Roman" w:cs="Times New Roman"/>
        </w:rPr>
        <w:t>onway</w:t>
      </w:r>
      <w:r w:rsidRPr="0020229F">
        <w:rPr>
          <w:rFonts w:ascii="Times New Roman" w:eastAsia="Times New Roman" w:hAnsi="Times New Roman" w:cs="Times New Roman"/>
        </w:rPr>
        <w:t>, W</w:t>
      </w:r>
      <w:r>
        <w:rPr>
          <w:rFonts w:ascii="Times New Roman" w:eastAsia="Times New Roman" w:hAnsi="Times New Roman" w:cs="Times New Roman"/>
        </w:rPr>
        <w:t>endt</w:t>
      </w:r>
      <w:r w:rsidRPr="0020229F">
        <w:rPr>
          <w:rFonts w:ascii="Times New Roman" w:eastAsia="Times New Roman" w:hAnsi="Times New Roman" w:cs="Times New Roman"/>
        </w:rPr>
        <w:t xml:space="preserve"> &amp; L</w:t>
      </w:r>
      <w:r>
        <w:rPr>
          <w:rFonts w:ascii="Times New Roman" w:eastAsia="Times New Roman" w:hAnsi="Times New Roman" w:cs="Times New Roman"/>
        </w:rPr>
        <w:t>eathers</w:t>
      </w:r>
      <w:r w:rsidRPr="0020229F">
        <w:rPr>
          <w:rFonts w:ascii="Times New Roman" w:eastAsia="Times New Roman" w:hAnsi="Times New Roman" w:cs="Times New Roman"/>
        </w:rPr>
        <w:t xml:space="preserve">, 2009). Community autoethnographies thus not only facilitate "community-building" research practices but also make opportunities for "cultural and social intervention" possible (p.59; see </w:t>
      </w:r>
      <w:proofErr w:type="spellStart"/>
      <w:r w:rsidRPr="0020229F">
        <w:rPr>
          <w:rFonts w:ascii="Times New Roman" w:eastAsia="Times New Roman" w:hAnsi="Times New Roman" w:cs="Times New Roman"/>
        </w:rPr>
        <w:t>K</w:t>
      </w:r>
      <w:r>
        <w:rPr>
          <w:rFonts w:ascii="Times New Roman" w:eastAsia="Times New Roman" w:hAnsi="Times New Roman" w:cs="Times New Roman"/>
        </w:rPr>
        <w:t>ardorff</w:t>
      </w:r>
      <w:proofErr w:type="spellEnd"/>
      <w:r w:rsidRPr="0020229F">
        <w:rPr>
          <w:rFonts w:ascii="Times New Roman" w:eastAsia="Times New Roman" w:hAnsi="Times New Roman" w:cs="Times New Roman"/>
        </w:rPr>
        <w:t xml:space="preserve"> &amp; </w:t>
      </w:r>
      <w:proofErr w:type="spellStart"/>
      <w:r w:rsidRPr="0020229F">
        <w:rPr>
          <w:rFonts w:ascii="Times New Roman" w:eastAsia="Times New Roman" w:hAnsi="Times New Roman" w:cs="Times New Roman"/>
        </w:rPr>
        <w:t>S</w:t>
      </w:r>
      <w:r>
        <w:rPr>
          <w:rFonts w:ascii="Times New Roman" w:eastAsia="Times New Roman" w:hAnsi="Times New Roman" w:cs="Times New Roman"/>
        </w:rPr>
        <w:t>chönberger</w:t>
      </w:r>
      <w:proofErr w:type="spellEnd"/>
      <w:r w:rsidRPr="0020229F">
        <w:rPr>
          <w:rFonts w:ascii="Times New Roman" w:eastAsia="Times New Roman" w:hAnsi="Times New Roman" w:cs="Times New Roman"/>
        </w:rPr>
        <w:t>, 2010).</w:t>
      </w:r>
    </w:p>
    <w:p w14:paraId="1C63C239"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 xml:space="preserve">Co-constructed narratives illustrate the meanings of relational experiences, particularly how people collaboratively cope with the ambiguities, uncertainties, and contradictions of being friends, family, and/or intimate partners. Co-constructed narratives view relationships as </w:t>
      </w:r>
      <w:proofErr w:type="gramStart"/>
      <w:r w:rsidRPr="0020229F">
        <w:rPr>
          <w:rFonts w:ascii="Times New Roman" w:eastAsia="Times New Roman" w:hAnsi="Times New Roman" w:cs="Times New Roman"/>
        </w:rPr>
        <w:t>jointly-authored</w:t>
      </w:r>
      <w:proofErr w:type="gramEnd"/>
      <w:r w:rsidRPr="0020229F">
        <w:rPr>
          <w:rFonts w:ascii="Times New Roman" w:eastAsia="Times New Roman" w:hAnsi="Times New Roman" w:cs="Times New Roman"/>
        </w:rPr>
        <w:t xml:space="preserve">, incomplete, and historically situated affairs. Joint activity structures co-constructed research projects. Often told about or around an epiphany, each person first writes her or his experience, and then shares and reacts to the story the other wrote at the same time (see </w:t>
      </w:r>
      <w:proofErr w:type="spellStart"/>
      <w:r>
        <w:rPr>
          <w:rFonts w:ascii="Times New Roman" w:eastAsia="Times New Roman" w:hAnsi="Times New Roman" w:cs="Times New Roman"/>
        </w:rPr>
        <w:t>Bochner</w:t>
      </w:r>
      <w:proofErr w:type="spellEnd"/>
      <w:r w:rsidRPr="0020229F">
        <w:rPr>
          <w:rFonts w:ascii="Times New Roman" w:eastAsia="Times New Roman" w:hAnsi="Times New Roman" w:cs="Times New Roman"/>
        </w:rPr>
        <w:t xml:space="preserve"> &amp; </w:t>
      </w:r>
      <w:r>
        <w:rPr>
          <w:rFonts w:ascii="Times New Roman" w:eastAsia="Times New Roman" w:hAnsi="Times New Roman" w:cs="Times New Roman"/>
        </w:rPr>
        <w:t>Ellis</w:t>
      </w:r>
      <w:r w:rsidRPr="0020229F">
        <w:rPr>
          <w:rFonts w:ascii="Times New Roman" w:eastAsia="Times New Roman" w:hAnsi="Times New Roman" w:cs="Times New Roman"/>
        </w:rPr>
        <w:t xml:space="preserve">, 1995; </w:t>
      </w:r>
      <w:proofErr w:type="spellStart"/>
      <w:r w:rsidRPr="0020229F">
        <w:rPr>
          <w:rFonts w:ascii="Times New Roman" w:eastAsia="Times New Roman" w:hAnsi="Times New Roman" w:cs="Times New Roman"/>
        </w:rPr>
        <w:t>T</w:t>
      </w:r>
      <w:r>
        <w:rPr>
          <w:rFonts w:ascii="Times New Roman" w:eastAsia="Times New Roman" w:hAnsi="Times New Roman" w:cs="Times New Roman"/>
        </w:rPr>
        <w:t>oyosaki</w:t>
      </w:r>
      <w:proofErr w:type="spellEnd"/>
      <w:r>
        <w:rPr>
          <w:rFonts w:ascii="Times New Roman" w:eastAsia="Times New Roman" w:hAnsi="Times New Roman" w:cs="Times New Roman"/>
        </w:rPr>
        <w:t xml:space="preserve"> &amp;</w:t>
      </w:r>
      <w:r w:rsidRPr="0020229F">
        <w:rPr>
          <w:rFonts w:ascii="Times New Roman" w:eastAsia="Times New Roman" w:hAnsi="Times New Roman" w:cs="Times New Roman"/>
        </w:rPr>
        <w:t xml:space="preserve"> </w:t>
      </w:r>
      <w:proofErr w:type="spellStart"/>
      <w:r w:rsidRPr="0020229F">
        <w:rPr>
          <w:rFonts w:ascii="Times New Roman" w:eastAsia="Times New Roman" w:hAnsi="Times New Roman" w:cs="Times New Roman"/>
        </w:rPr>
        <w:t>P</w:t>
      </w:r>
      <w:r>
        <w:rPr>
          <w:rFonts w:ascii="Times New Roman" w:eastAsia="Times New Roman" w:hAnsi="Times New Roman" w:cs="Times New Roman"/>
        </w:rPr>
        <w:t>ensoneau</w:t>
      </w:r>
      <w:proofErr w:type="spellEnd"/>
      <w:r w:rsidRPr="0020229F">
        <w:rPr>
          <w:rFonts w:ascii="Times New Roman" w:eastAsia="Times New Roman" w:hAnsi="Times New Roman" w:cs="Times New Roman"/>
        </w:rPr>
        <w:t xml:space="preserve">, 2005; </w:t>
      </w:r>
      <w:proofErr w:type="spellStart"/>
      <w:r w:rsidRPr="0020229F">
        <w:rPr>
          <w:rFonts w:ascii="Times New Roman" w:eastAsia="Times New Roman" w:hAnsi="Times New Roman" w:cs="Times New Roman"/>
        </w:rPr>
        <w:t>V</w:t>
      </w:r>
      <w:r>
        <w:rPr>
          <w:rFonts w:ascii="Times New Roman" w:eastAsia="Times New Roman" w:hAnsi="Times New Roman" w:cs="Times New Roman"/>
        </w:rPr>
        <w:t>ande</w:t>
      </w:r>
      <w:proofErr w:type="spellEnd"/>
      <w:r w:rsidRPr="0020229F">
        <w:rPr>
          <w:rFonts w:ascii="Times New Roman" w:eastAsia="Times New Roman" w:hAnsi="Times New Roman" w:cs="Times New Roman"/>
        </w:rPr>
        <w:t xml:space="preserve"> </w:t>
      </w:r>
      <w:r>
        <w:rPr>
          <w:rFonts w:ascii="Times New Roman" w:eastAsia="Times New Roman" w:hAnsi="Times New Roman" w:cs="Times New Roman"/>
        </w:rPr>
        <w:t>berg</w:t>
      </w:r>
      <w:r w:rsidRPr="0020229F">
        <w:rPr>
          <w:rFonts w:ascii="Times New Roman" w:eastAsia="Times New Roman" w:hAnsi="Times New Roman" w:cs="Times New Roman"/>
        </w:rPr>
        <w:t xml:space="preserve"> &amp; T</w:t>
      </w:r>
      <w:r>
        <w:rPr>
          <w:rFonts w:ascii="Times New Roman" w:eastAsia="Times New Roman" w:hAnsi="Times New Roman" w:cs="Times New Roman"/>
        </w:rPr>
        <w:t>rujillo</w:t>
      </w:r>
      <w:r w:rsidRPr="0020229F">
        <w:rPr>
          <w:rFonts w:ascii="Times New Roman" w:eastAsia="Times New Roman" w:hAnsi="Times New Roman" w:cs="Times New Roman"/>
        </w:rPr>
        <w:t>, 2008).</w:t>
      </w:r>
    </w:p>
    <w:p w14:paraId="3A1ED1F5" w14:textId="77777777" w:rsidR="00306DAA" w:rsidRPr="0020229F" w:rsidRDefault="00306DAA" w:rsidP="00306DAA">
      <w:pPr>
        <w:shd w:val="clear" w:color="auto" w:fill="FFFFFF"/>
        <w:ind w:firstLine="720"/>
        <w:rPr>
          <w:rFonts w:ascii="Times New Roman" w:eastAsia="Times New Roman" w:hAnsi="Times New Roman" w:cs="Times New Roman"/>
        </w:rPr>
      </w:pPr>
      <w:r w:rsidRPr="0020229F">
        <w:rPr>
          <w:rFonts w:ascii="Times New Roman" w:eastAsia="Times New Roman" w:hAnsi="Times New Roman" w:cs="Times New Roman"/>
        </w:rPr>
        <w:t>Generally, the autoethnographies you will write for classes will be personal narratives--stories about authors who view themselves as the phenomenon and write evocative narratives specifically focused on their academic, research, and personal lives (e.g., B</w:t>
      </w:r>
      <w:r>
        <w:rPr>
          <w:rFonts w:ascii="Times New Roman" w:eastAsia="Times New Roman" w:hAnsi="Times New Roman" w:cs="Times New Roman"/>
        </w:rPr>
        <w:t>erry</w:t>
      </w:r>
      <w:r w:rsidRPr="0020229F">
        <w:rPr>
          <w:rFonts w:ascii="Times New Roman" w:eastAsia="Times New Roman" w:hAnsi="Times New Roman" w:cs="Times New Roman"/>
        </w:rPr>
        <w:t xml:space="preserve">, 2007; </w:t>
      </w:r>
      <w:r>
        <w:rPr>
          <w:rFonts w:ascii="Times New Roman" w:eastAsia="Times New Roman" w:hAnsi="Times New Roman" w:cs="Times New Roman"/>
        </w:rPr>
        <w:t>Goodall</w:t>
      </w:r>
      <w:r w:rsidRPr="0020229F">
        <w:rPr>
          <w:rFonts w:ascii="Times New Roman" w:eastAsia="Times New Roman" w:hAnsi="Times New Roman" w:cs="Times New Roman"/>
        </w:rPr>
        <w:t>, 2006; P</w:t>
      </w:r>
      <w:r>
        <w:rPr>
          <w:rFonts w:ascii="Times New Roman" w:eastAsia="Times New Roman" w:hAnsi="Times New Roman" w:cs="Times New Roman"/>
        </w:rPr>
        <w:t>oulos</w:t>
      </w:r>
      <w:r w:rsidRPr="0020229F">
        <w:rPr>
          <w:rFonts w:ascii="Times New Roman" w:eastAsia="Times New Roman" w:hAnsi="Times New Roman" w:cs="Times New Roman"/>
        </w:rPr>
        <w:t xml:space="preserve">, 2008; </w:t>
      </w:r>
      <w:proofErr w:type="spellStart"/>
      <w:r>
        <w:rPr>
          <w:rFonts w:ascii="Times New Roman" w:eastAsia="Times New Roman" w:hAnsi="Times New Roman" w:cs="Times New Roman"/>
        </w:rPr>
        <w:t>Tillmann</w:t>
      </w:r>
      <w:proofErr w:type="spellEnd"/>
      <w:r w:rsidRPr="0020229F">
        <w:rPr>
          <w:rFonts w:ascii="Times New Roman" w:eastAsia="Times New Roman" w:hAnsi="Times New Roman" w:cs="Times New Roman"/>
        </w:rPr>
        <w:t>, 2009). These often are the most controversial forms of autoethnography for traditional social scientists, especially if they are not accompanied by more traditional analysis and/or connections to scholarly literature. Personal narratives propose to understand a self or some aspect of a life as it intersects with a cultural context, connect to other participants as co-researchers, and invite readers to enter the author's world and to use what they learn there to reflect on, understand, and cope with their own lives (</w:t>
      </w:r>
      <w:r>
        <w:rPr>
          <w:rFonts w:ascii="Times New Roman" w:eastAsia="Times New Roman" w:hAnsi="Times New Roman" w:cs="Times New Roman"/>
        </w:rPr>
        <w:t>Ellis</w:t>
      </w:r>
      <w:r w:rsidRPr="0020229F">
        <w:rPr>
          <w:rFonts w:ascii="Times New Roman" w:eastAsia="Times New Roman" w:hAnsi="Times New Roman" w:cs="Times New Roman"/>
        </w:rPr>
        <w:t>, 2004, p.46)</w:t>
      </w:r>
    </w:p>
    <w:p w14:paraId="4B698842" w14:textId="77777777" w:rsidR="00306DAA" w:rsidRDefault="00306DAA" w:rsidP="00306DAA">
      <w:pPr>
        <w:rPr>
          <w:color w:val="505050"/>
        </w:rPr>
      </w:pPr>
      <w:r>
        <w:rPr>
          <w:rFonts w:ascii="Times New Roman" w:eastAsia="Times New Roman" w:hAnsi="Times New Roman" w:cs="Times New Roman"/>
        </w:rPr>
        <w:tab/>
        <w:t xml:space="preserve">Even if it is not assigned, an autoethnography can be a good exercise before embarking on ethnographic research. It allows you to begin to think like an ethnographer with familiar data. It can also provide space for you </w:t>
      </w:r>
      <w:proofErr w:type="spellStart"/>
      <w:r>
        <w:rPr>
          <w:rFonts w:ascii="Times New Roman" w:eastAsia="Times New Roman" w:hAnsi="Times New Roman" w:cs="Times New Roman"/>
        </w:rPr>
        <w:t>to began</w:t>
      </w:r>
      <w:proofErr w:type="spellEnd"/>
      <w:r>
        <w:rPr>
          <w:rFonts w:ascii="Times New Roman" w:eastAsia="Times New Roman" w:hAnsi="Times New Roman" w:cs="Times New Roman"/>
        </w:rPr>
        <w:t xml:space="preserve"> to think about your perspectives on a </w:t>
      </w:r>
      <w:proofErr w:type="gramStart"/>
      <w:r>
        <w:rPr>
          <w:rFonts w:ascii="Times New Roman" w:eastAsia="Times New Roman" w:hAnsi="Times New Roman" w:cs="Times New Roman"/>
        </w:rPr>
        <w:t>particular research</w:t>
      </w:r>
      <w:proofErr w:type="gramEnd"/>
      <w:r>
        <w:rPr>
          <w:rFonts w:ascii="Times New Roman" w:eastAsia="Times New Roman" w:hAnsi="Times New Roman" w:cs="Times New Roman"/>
        </w:rPr>
        <w:t xml:space="preserve"> subject, as well as your biases and </w:t>
      </w:r>
      <w:proofErr w:type="spellStart"/>
      <w:r>
        <w:rPr>
          <w:rFonts w:ascii="Times New Roman" w:eastAsia="Times New Roman" w:hAnsi="Times New Roman" w:cs="Times New Roman"/>
        </w:rPr>
        <w:t>blindspots</w:t>
      </w:r>
      <w:proofErr w:type="spellEnd"/>
      <w:r>
        <w:rPr>
          <w:rFonts w:ascii="Times New Roman" w:eastAsia="Times New Roman" w:hAnsi="Times New Roman" w:cs="Times New Roman"/>
        </w:rPr>
        <w:t>. In addition, the reflective purposes it serves can be invaluable in moving your own research forward.</w:t>
      </w:r>
      <w:r>
        <w:rPr>
          <w:rStyle w:val="FootnoteReference"/>
          <w:rFonts w:ascii="Times New Roman" w:eastAsia="Times New Roman" w:hAnsi="Times New Roman" w:cs="Times New Roman"/>
        </w:rPr>
        <w:footnoteReference w:id="15"/>
      </w:r>
    </w:p>
    <w:p w14:paraId="2A9D272A" w14:textId="77777777" w:rsidR="00306DAA" w:rsidRPr="0020229F" w:rsidRDefault="00306DAA" w:rsidP="00306DAA">
      <w:pPr>
        <w:rPr>
          <w:rFonts w:ascii="Times New Roman" w:eastAsia="Times New Roman" w:hAnsi="Times New Roman" w:cs="Times New Roman"/>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06DAA" w:rsidRPr="0020229F" w14:paraId="1A99DD7A" w14:textId="77777777" w:rsidTr="00306DAA">
        <w:tc>
          <w:tcPr>
            <w:tcW w:w="9360" w:type="dxa"/>
            <w:shd w:val="clear" w:color="auto" w:fill="auto"/>
            <w:tcMar>
              <w:top w:w="100" w:type="dxa"/>
              <w:left w:w="100" w:type="dxa"/>
              <w:bottom w:w="100" w:type="dxa"/>
              <w:right w:w="100" w:type="dxa"/>
            </w:tcMar>
          </w:tcPr>
          <w:p w14:paraId="69F45244" w14:textId="77777777" w:rsidR="00306DAA" w:rsidRPr="0020229F" w:rsidRDefault="00306DAA" w:rsidP="00C23CDB">
            <w:pPr>
              <w:numPr>
                <w:ilvl w:val="1"/>
                <w:numId w:val="19"/>
              </w:numPr>
              <w:rPr>
                <w:rFonts w:ascii="Times New Roman" w:eastAsia="Times New Roman" w:hAnsi="Times New Roman" w:cs="Times New Roman"/>
              </w:rPr>
            </w:pPr>
            <w:r w:rsidRPr="0020229F">
              <w:rPr>
                <w:rFonts w:ascii="Times New Roman" w:eastAsia="Times New Roman" w:hAnsi="Times New Roman" w:cs="Times New Roman"/>
              </w:rPr>
              <w:t>Outlining the overall structure</w:t>
            </w:r>
          </w:p>
          <w:p w14:paraId="5D04FD01" w14:textId="77777777" w:rsidR="00306DAA" w:rsidRPr="0020229F" w:rsidRDefault="00306DAA" w:rsidP="00306DAA">
            <w:pPr>
              <w:ind w:left="1440"/>
              <w:rPr>
                <w:rFonts w:ascii="Times New Roman" w:eastAsia="Times New Roman" w:hAnsi="Times New Roman" w:cs="Times New Roman"/>
              </w:rPr>
            </w:pPr>
            <w:r w:rsidRPr="0020229F">
              <w:rPr>
                <w:rFonts w:ascii="Times New Roman" w:eastAsia="Times New Roman" w:hAnsi="Times New Roman" w:cs="Times New Roman"/>
              </w:rPr>
              <w:t>Come up with a name that isn’t “how I got here” “my trip here” “Why I’m here” Something reflective of the paper.</w:t>
            </w:r>
          </w:p>
          <w:p w14:paraId="236AE456" w14:textId="77777777" w:rsidR="00306DAA" w:rsidRPr="0020229F" w:rsidRDefault="00306DAA" w:rsidP="00C23CDB">
            <w:pPr>
              <w:numPr>
                <w:ilvl w:val="1"/>
                <w:numId w:val="19"/>
              </w:numPr>
              <w:rPr>
                <w:rFonts w:ascii="Times New Roman" w:eastAsia="Times New Roman" w:hAnsi="Times New Roman" w:cs="Times New Roman"/>
              </w:rPr>
            </w:pPr>
            <w:r w:rsidRPr="0020229F">
              <w:rPr>
                <w:rFonts w:ascii="Times New Roman" w:eastAsia="Times New Roman" w:hAnsi="Times New Roman" w:cs="Times New Roman"/>
              </w:rPr>
              <w:t>Writing an introduction</w:t>
            </w:r>
          </w:p>
          <w:p w14:paraId="56C669F8" w14:textId="77777777" w:rsidR="00306DAA" w:rsidRPr="0020229F" w:rsidRDefault="00306DAA" w:rsidP="00C23CDB">
            <w:pPr>
              <w:numPr>
                <w:ilvl w:val="1"/>
                <w:numId w:val="19"/>
              </w:numPr>
              <w:rPr>
                <w:rFonts w:ascii="Times New Roman" w:eastAsia="Times New Roman" w:hAnsi="Times New Roman" w:cs="Times New Roman"/>
              </w:rPr>
            </w:pPr>
            <w:r w:rsidRPr="0020229F">
              <w:rPr>
                <w:rFonts w:ascii="Times New Roman" w:eastAsia="Times New Roman" w:hAnsi="Times New Roman" w:cs="Times New Roman"/>
              </w:rPr>
              <w:t>Writing a conclusion</w:t>
            </w:r>
          </w:p>
          <w:p w14:paraId="14DC27D0" w14:textId="77777777" w:rsidR="00306DAA" w:rsidRPr="0020229F" w:rsidRDefault="00306DAA" w:rsidP="00C23CDB">
            <w:pPr>
              <w:numPr>
                <w:ilvl w:val="1"/>
                <w:numId w:val="19"/>
              </w:numPr>
              <w:rPr>
                <w:rFonts w:ascii="Times New Roman" w:eastAsia="Times New Roman" w:hAnsi="Times New Roman" w:cs="Times New Roman"/>
              </w:rPr>
            </w:pPr>
            <w:r w:rsidRPr="0020229F">
              <w:rPr>
                <w:rFonts w:ascii="Times New Roman" w:eastAsia="Times New Roman" w:hAnsi="Times New Roman" w:cs="Times New Roman"/>
              </w:rPr>
              <w:t>Revision</w:t>
            </w:r>
          </w:p>
          <w:p w14:paraId="5CF00C6F" w14:textId="77777777" w:rsidR="00306DAA" w:rsidRPr="0020229F" w:rsidRDefault="00306DAA" w:rsidP="00306DAA">
            <w:pPr>
              <w:ind w:left="1440"/>
              <w:rPr>
                <w:rFonts w:ascii="Times New Roman" w:eastAsia="Times New Roman" w:hAnsi="Times New Roman" w:cs="Times New Roman"/>
              </w:rPr>
            </w:pPr>
            <w:r w:rsidRPr="0020229F">
              <w:rPr>
                <w:rFonts w:ascii="Times New Roman" w:eastAsia="Times New Roman" w:hAnsi="Times New Roman" w:cs="Times New Roman"/>
              </w:rPr>
              <w:t xml:space="preserve">Revise your document by incorporating any and all edits on your previous draft and make sure that you have an introduction and a conclusion. You also should make sure that the new paragraphs fit with the </w:t>
            </w:r>
            <w:proofErr w:type="gramStart"/>
            <w:r w:rsidRPr="0020229F">
              <w:rPr>
                <w:rFonts w:ascii="Times New Roman" w:eastAsia="Times New Roman" w:hAnsi="Times New Roman" w:cs="Times New Roman"/>
              </w:rPr>
              <w:t>paper as a whole</w:t>
            </w:r>
            <w:proofErr w:type="gramEnd"/>
            <w:r w:rsidRPr="0020229F">
              <w:rPr>
                <w:rFonts w:ascii="Times New Roman" w:eastAsia="Times New Roman" w:hAnsi="Times New Roman" w:cs="Times New Roman"/>
              </w:rPr>
              <w:t>.</w:t>
            </w:r>
          </w:p>
          <w:p w14:paraId="0019EF2C" w14:textId="77777777" w:rsidR="00306DAA" w:rsidRPr="0020229F" w:rsidRDefault="00306DAA" w:rsidP="00C23CDB">
            <w:pPr>
              <w:numPr>
                <w:ilvl w:val="0"/>
                <w:numId w:val="19"/>
              </w:numPr>
              <w:rPr>
                <w:rFonts w:ascii="Times New Roman" w:eastAsia="Times New Roman" w:hAnsi="Times New Roman" w:cs="Times New Roman"/>
              </w:rPr>
            </w:pPr>
            <w:r w:rsidRPr="0020229F">
              <w:rPr>
                <w:rFonts w:ascii="Times New Roman" w:eastAsia="Times New Roman" w:hAnsi="Times New Roman" w:cs="Times New Roman"/>
              </w:rPr>
              <w:t>Learning from your autoethnography</w:t>
            </w:r>
          </w:p>
          <w:p w14:paraId="7DF90D39" w14:textId="77777777" w:rsidR="00306DAA" w:rsidRPr="0020229F" w:rsidRDefault="00306DAA" w:rsidP="00C23CDB">
            <w:pPr>
              <w:numPr>
                <w:ilvl w:val="1"/>
                <w:numId w:val="19"/>
              </w:numPr>
              <w:rPr>
                <w:rFonts w:ascii="Times New Roman" w:eastAsia="Times New Roman" w:hAnsi="Times New Roman" w:cs="Times New Roman"/>
              </w:rPr>
            </w:pPr>
            <w:r w:rsidRPr="0020229F">
              <w:rPr>
                <w:rFonts w:ascii="Times New Roman" w:eastAsia="Times New Roman" w:hAnsi="Times New Roman" w:cs="Times New Roman"/>
              </w:rPr>
              <w:lastRenderedPageBreak/>
              <w:t>Re-coding your autoethnography</w:t>
            </w:r>
          </w:p>
          <w:p w14:paraId="567D4449" w14:textId="77777777" w:rsidR="00306DAA" w:rsidRPr="0020229F" w:rsidRDefault="00306DAA" w:rsidP="00306DAA">
            <w:pPr>
              <w:ind w:left="1440"/>
              <w:rPr>
                <w:rFonts w:ascii="Times New Roman" w:eastAsia="Times New Roman" w:hAnsi="Times New Roman" w:cs="Times New Roman"/>
              </w:rPr>
            </w:pPr>
            <w:r w:rsidRPr="0020229F">
              <w:rPr>
                <w:rFonts w:ascii="Times New Roman" w:eastAsia="Times New Roman" w:hAnsi="Times New Roman" w:cs="Times New Roman"/>
              </w:rPr>
              <w:t>You will also be expected to return to and revise your first autoethnography to ensure that it fits your additions and to add more information covering your first year. This may also include information from reflections or work in any of your other classes. You will also do the ethnographic coding that you have learned since your previous autoethnography and describe the themes and patterns that emerged.</w:t>
            </w:r>
          </w:p>
          <w:p w14:paraId="1EB18075" w14:textId="77777777" w:rsidR="00306DAA" w:rsidRPr="0020229F" w:rsidRDefault="00306DAA" w:rsidP="00306DAA">
            <w:pPr>
              <w:ind w:left="1440"/>
              <w:rPr>
                <w:rFonts w:ascii="Times New Roman" w:eastAsia="Times New Roman" w:hAnsi="Times New Roman" w:cs="Times New Roman"/>
              </w:rPr>
            </w:pPr>
            <w:r w:rsidRPr="0020229F">
              <w:rPr>
                <w:rFonts w:ascii="Times New Roman" w:eastAsia="Times New Roman" w:hAnsi="Times New Roman" w:cs="Times New Roman"/>
              </w:rPr>
              <w:t xml:space="preserve">Read through the entire paper and pull out the theoretical notes. What are the patterns in your life? The people, places, attitudes and/or opinions that have </w:t>
            </w:r>
            <w:proofErr w:type="gramStart"/>
            <w:r w:rsidRPr="0020229F">
              <w:rPr>
                <w:rFonts w:ascii="Times New Roman" w:eastAsia="Times New Roman" w:hAnsi="Times New Roman" w:cs="Times New Roman"/>
              </w:rPr>
              <w:t>had an effect on</w:t>
            </w:r>
            <w:proofErr w:type="gramEnd"/>
            <w:r w:rsidRPr="0020229F">
              <w:rPr>
                <w:rFonts w:ascii="Times New Roman" w:eastAsia="Times New Roman" w:hAnsi="Times New Roman" w:cs="Times New Roman"/>
              </w:rPr>
              <w:t xml:space="preserve"> your life? Select at least three theoretical notes and describe their importance to you.</w:t>
            </w:r>
          </w:p>
        </w:tc>
      </w:tr>
    </w:tbl>
    <w:p w14:paraId="1BD2440D" w14:textId="77777777" w:rsidR="00306DAA" w:rsidRDefault="00306DAA" w:rsidP="00306DAA">
      <w:pPr>
        <w:rPr>
          <w:rFonts w:ascii="Times New Roman" w:eastAsia="Times New Roman" w:hAnsi="Times New Roman" w:cs="Times New Roman"/>
        </w:rPr>
      </w:pPr>
      <w:r>
        <w:rPr>
          <w:rFonts w:ascii="Times New Roman" w:eastAsia="Times New Roman" w:hAnsi="Times New Roman" w:cs="Times New Roman"/>
        </w:rPr>
        <w:lastRenderedPageBreak/>
        <w:t>Chapter Summary</w:t>
      </w:r>
    </w:p>
    <w:p w14:paraId="6C895912" w14:textId="77777777" w:rsidR="00306DAA" w:rsidRDefault="00306DAA" w:rsidP="00C23CDB">
      <w:pPr>
        <w:pStyle w:val="ListParagraph"/>
        <w:numPr>
          <w:ilvl w:val="0"/>
          <w:numId w:val="20"/>
        </w:numPr>
        <w:rPr>
          <w:rFonts w:ascii="Times New Roman" w:eastAsia="Times New Roman" w:hAnsi="Times New Roman" w:cs="Times New Roman"/>
        </w:rPr>
      </w:pPr>
      <w:r>
        <w:rPr>
          <w:rFonts w:ascii="Times New Roman" w:eastAsia="Times New Roman" w:hAnsi="Times New Roman" w:cs="Times New Roman"/>
        </w:rPr>
        <w:t>Autoethnography is a reflective practice that allows the researcher to use their own experience in understanding social phenomena</w:t>
      </w:r>
    </w:p>
    <w:p w14:paraId="6C2B0A23" w14:textId="77777777" w:rsidR="00306DAA" w:rsidRDefault="00306DAA" w:rsidP="00C23CDB">
      <w:pPr>
        <w:pStyle w:val="ListParagraph"/>
        <w:numPr>
          <w:ilvl w:val="0"/>
          <w:numId w:val="20"/>
        </w:numPr>
        <w:rPr>
          <w:rFonts w:ascii="Times New Roman" w:eastAsia="Times New Roman" w:hAnsi="Times New Roman" w:cs="Times New Roman"/>
        </w:rPr>
      </w:pPr>
      <w:r>
        <w:rPr>
          <w:rFonts w:ascii="Times New Roman" w:eastAsia="Times New Roman" w:hAnsi="Times New Roman" w:cs="Times New Roman"/>
        </w:rPr>
        <w:t>The researcher may need to consult sources outside of themselves</w:t>
      </w:r>
    </w:p>
    <w:p w14:paraId="4A30D1A2" w14:textId="77777777" w:rsidR="00306DAA" w:rsidRPr="00BB6E5B" w:rsidRDefault="00306DAA" w:rsidP="00C23CDB">
      <w:pPr>
        <w:pStyle w:val="ListParagraph"/>
        <w:numPr>
          <w:ilvl w:val="0"/>
          <w:numId w:val="20"/>
        </w:numPr>
        <w:rPr>
          <w:rFonts w:ascii="Times New Roman" w:eastAsia="Times New Roman" w:hAnsi="Times New Roman" w:cs="Times New Roman"/>
        </w:rPr>
      </w:pPr>
      <w:r>
        <w:rPr>
          <w:rFonts w:ascii="Times New Roman" w:eastAsia="Times New Roman" w:hAnsi="Times New Roman" w:cs="Times New Roman"/>
        </w:rPr>
        <w:t>A researcher can do an autoethnography on their own experiences but can also ask research subjects to do them on themselves</w:t>
      </w:r>
    </w:p>
    <w:p w14:paraId="4DE70380" w14:textId="77777777" w:rsidR="00306DAA" w:rsidRDefault="00306DAA" w:rsidP="00306DAA">
      <w:pPr>
        <w:rPr>
          <w:rFonts w:ascii="Times New Roman" w:eastAsia="Times New Roman" w:hAnsi="Times New Roman" w:cs="Times New Roman"/>
        </w:rPr>
      </w:pPr>
    </w:p>
    <w:p w14:paraId="327E2290" w14:textId="77777777" w:rsidR="00306DAA" w:rsidRDefault="00306DAA" w:rsidP="00306DAA">
      <w:pPr>
        <w:rPr>
          <w:rFonts w:ascii="Times New Roman" w:eastAsia="Times New Roman" w:hAnsi="Times New Roman" w:cs="Times New Roman"/>
        </w:rPr>
      </w:pPr>
      <w:r>
        <w:rPr>
          <w:rFonts w:ascii="Times New Roman" w:eastAsia="Times New Roman" w:hAnsi="Times New Roman" w:cs="Times New Roman"/>
        </w:rPr>
        <w:t>Key Terms</w:t>
      </w:r>
    </w:p>
    <w:p w14:paraId="2C00B8B8" w14:textId="77777777" w:rsidR="00306DAA" w:rsidRPr="00BB6E5B" w:rsidRDefault="00306DAA" w:rsidP="00C23CDB">
      <w:pPr>
        <w:pStyle w:val="ListParagraph"/>
        <w:numPr>
          <w:ilvl w:val="0"/>
          <w:numId w:val="20"/>
        </w:numPr>
        <w:rPr>
          <w:rFonts w:ascii="Times New Roman" w:eastAsia="Times New Roman" w:hAnsi="Times New Roman" w:cs="Times New Roman"/>
          <w:bCs/>
        </w:rPr>
      </w:pPr>
      <w:r w:rsidRPr="00BB6E5B">
        <w:rPr>
          <w:rFonts w:ascii="Times New Roman" w:eastAsia="Times New Roman" w:hAnsi="Times New Roman" w:cs="Times New Roman"/>
          <w:bCs/>
        </w:rPr>
        <w:t>Autoethnography</w:t>
      </w:r>
    </w:p>
    <w:p w14:paraId="32BB2C7B" w14:textId="77777777" w:rsidR="00306DAA" w:rsidRPr="00BB6E5B" w:rsidRDefault="00306DAA" w:rsidP="00C23CDB">
      <w:pPr>
        <w:pStyle w:val="ListParagraph"/>
        <w:numPr>
          <w:ilvl w:val="0"/>
          <w:numId w:val="20"/>
        </w:numPr>
        <w:rPr>
          <w:rFonts w:ascii="Times New Roman" w:eastAsia="Times New Roman" w:hAnsi="Times New Roman" w:cs="Times New Roman"/>
        </w:rPr>
      </w:pPr>
      <w:r w:rsidRPr="00BB6E5B">
        <w:rPr>
          <w:rFonts w:ascii="Times New Roman" w:eastAsia="Times New Roman" w:hAnsi="Times New Roman" w:cs="Times New Roman"/>
        </w:rPr>
        <w:t>Value-centered</w:t>
      </w:r>
    </w:p>
    <w:p w14:paraId="51A64904" w14:textId="77777777" w:rsidR="00306DAA" w:rsidRPr="00BB6E5B" w:rsidRDefault="00306DAA" w:rsidP="00C23CDB">
      <w:pPr>
        <w:pStyle w:val="ListParagraph"/>
        <w:numPr>
          <w:ilvl w:val="0"/>
          <w:numId w:val="20"/>
        </w:numPr>
        <w:rPr>
          <w:rFonts w:ascii="Times New Roman" w:eastAsia="Times New Roman" w:hAnsi="Times New Roman" w:cs="Times New Roman"/>
        </w:rPr>
      </w:pPr>
      <w:r w:rsidRPr="00BB6E5B">
        <w:rPr>
          <w:rFonts w:ascii="Times New Roman" w:eastAsia="Times New Roman" w:hAnsi="Times New Roman" w:cs="Times New Roman"/>
        </w:rPr>
        <w:t>Epiphanies</w:t>
      </w:r>
    </w:p>
    <w:p w14:paraId="734C1297" w14:textId="77777777" w:rsidR="00306DAA" w:rsidRDefault="00306DAA" w:rsidP="00306DAA">
      <w:pPr>
        <w:rPr>
          <w:rFonts w:ascii="Times New Roman" w:eastAsia="Times New Roman" w:hAnsi="Times New Roman" w:cs="Times New Roman"/>
        </w:rPr>
      </w:pPr>
    </w:p>
    <w:p w14:paraId="48721986" w14:textId="77777777" w:rsidR="00306DAA" w:rsidRDefault="00306DAA" w:rsidP="00306DAA">
      <w:pPr>
        <w:rPr>
          <w:rFonts w:ascii="Times New Roman" w:eastAsia="Times New Roman" w:hAnsi="Times New Roman" w:cs="Times New Roman"/>
        </w:rPr>
      </w:pPr>
      <w:r>
        <w:rPr>
          <w:rFonts w:ascii="Times New Roman" w:eastAsia="Times New Roman" w:hAnsi="Times New Roman" w:cs="Times New Roman"/>
        </w:rPr>
        <w:t>Questions</w:t>
      </w:r>
    </w:p>
    <w:p w14:paraId="5C4A0E75" w14:textId="77777777" w:rsidR="00306DAA" w:rsidRDefault="00306DAA" w:rsidP="00C23CDB">
      <w:pPr>
        <w:pStyle w:val="ListParagraph"/>
        <w:numPr>
          <w:ilvl w:val="0"/>
          <w:numId w:val="21"/>
        </w:numPr>
        <w:rPr>
          <w:rFonts w:ascii="Times New Roman" w:eastAsia="Times New Roman" w:hAnsi="Times New Roman" w:cs="Times New Roman"/>
        </w:rPr>
      </w:pPr>
      <w:r>
        <w:rPr>
          <w:rFonts w:ascii="Times New Roman" w:eastAsia="Times New Roman" w:hAnsi="Times New Roman" w:cs="Times New Roman"/>
        </w:rPr>
        <w:t>How has autoethnography been used over time?</w:t>
      </w:r>
    </w:p>
    <w:p w14:paraId="2019841C" w14:textId="77777777" w:rsidR="00306DAA" w:rsidRDefault="00306DAA" w:rsidP="00C23CDB">
      <w:pPr>
        <w:pStyle w:val="ListParagraph"/>
        <w:numPr>
          <w:ilvl w:val="0"/>
          <w:numId w:val="21"/>
        </w:numPr>
        <w:rPr>
          <w:rFonts w:ascii="Times New Roman" w:eastAsia="Times New Roman" w:hAnsi="Times New Roman" w:cs="Times New Roman"/>
        </w:rPr>
      </w:pPr>
      <w:r>
        <w:rPr>
          <w:rFonts w:ascii="Times New Roman" w:eastAsia="Times New Roman" w:hAnsi="Times New Roman" w:cs="Times New Roman"/>
        </w:rPr>
        <w:t>If you had to develop three themes that illustrated your life so far, what would they be and what epiphanies led to them or are a result of them?</w:t>
      </w:r>
    </w:p>
    <w:p w14:paraId="0DEDE557" w14:textId="77777777" w:rsidR="00306DAA" w:rsidRDefault="00306DAA" w:rsidP="00C23CDB">
      <w:pPr>
        <w:pStyle w:val="ListParagraph"/>
        <w:numPr>
          <w:ilvl w:val="0"/>
          <w:numId w:val="21"/>
        </w:numPr>
        <w:rPr>
          <w:rFonts w:ascii="Times New Roman" w:eastAsia="Times New Roman" w:hAnsi="Times New Roman" w:cs="Times New Roman"/>
        </w:rPr>
      </w:pPr>
      <w:r>
        <w:rPr>
          <w:rFonts w:ascii="Times New Roman" w:eastAsia="Times New Roman" w:hAnsi="Times New Roman" w:cs="Times New Roman"/>
        </w:rPr>
        <w:t>How should autoethnographies be organized?</w:t>
      </w:r>
    </w:p>
    <w:p w14:paraId="7A83F2CC" w14:textId="77777777" w:rsidR="00306DAA" w:rsidRPr="00BB6E5B" w:rsidRDefault="00306DAA" w:rsidP="00306DAA">
      <w:pPr>
        <w:ind w:left="360"/>
        <w:rPr>
          <w:rFonts w:ascii="Times New Roman" w:eastAsia="Times New Roman" w:hAnsi="Times New Roman" w:cs="Times New Roman"/>
        </w:rPr>
      </w:pPr>
    </w:p>
    <w:p w14:paraId="33068528" w14:textId="77777777" w:rsidR="00306DAA" w:rsidRDefault="00306DAA" w:rsidP="00306DAA">
      <w:pPr>
        <w:rPr>
          <w:rFonts w:ascii="Times New Roman" w:eastAsia="Times New Roman" w:hAnsi="Times New Roman" w:cs="Times New Roman"/>
        </w:rPr>
      </w:pPr>
    </w:p>
    <w:p w14:paraId="1C2F0B8D" w14:textId="77777777" w:rsidR="00306DAA" w:rsidRPr="00A756B8" w:rsidRDefault="00306DAA" w:rsidP="00306DAA">
      <w:pPr>
        <w:rPr>
          <w:rFonts w:ascii="Times New Roman" w:hAnsi="Times New Roman" w:cs="Times New Roman"/>
        </w:rPr>
      </w:pPr>
      <w:r>
        <w:rPr>
          <w:rFonts w:ascii="Times New Roman" w:eastAsia="Times New Roman" w:hAnsi="Times New Roman" w:cs="Times New Roman"/>
        </w:rPr>
        <w:t>References</w:t>
      </w:r>
    </w:p>
    <w:p w14:paraId="53DAE6A8"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Adams, Tony E. &amp; Holman Jones, Stacy (2008). Autoethnography is queer. In </w:t>
      </w:r>
      <w:hyperlink r:id="rId29" w:tgtFrame="_self" w:history="1">
        <w:r w:rsidRPr="00A756B8">
          <w:rPr>
            <w:rStyle w:val="Hyperlink"/>
            <w:color w:val="996600"/>
          </w:rPr>
          <w:t>Norman K. Denzin</w:t>
        </w:r>
      </w:hyperlink>
      <w:r w:rsidRPr="00A756B8">
        <w:rPr>
          <w:color w:val="000000"/>
        </w:rPr>
        <w:t xml:space="preserve">, </w:t>
      </w:r>
      <w:proofErr w:type="spellStart"/>
      <w:r w:rsidRPr="00A756B8">
        <w:rPr>
          <w:color w:val="000000"/>
        </w:rPr>
        <w:t>Yvonna</w:t>
      </w:r>
      <w:proofErr w:type="spellEnd"/>
      <w:r w:rsidRPr="00A756B8">
        <w:rPr>
          <w:color w:val="000000"/>
        </w:rPr>
        <w:t xml:space="preserve"> S. Lincoln &amp; Linda T. Smith (Eds.), </w:t>
      </w:r>
      <w:r w:rsidRPr="00A756B8">
        <w:rPr>
          <w:rStyle w:val="fqscharitalic"/>
          <w:i/>
          <w:iCs/>
          <w:color w:val="000000"/>
        </w:rPr>
        <w:t>Handbook of critical and indigenous methodologies </w:t>
      </w:r>
      <w:r w:rsidRPr="00A756B8">
        <w:rPr>
          <w:color w:val="000000"/>
        </w:rPr>
        <w:t>(pp.373-390). Thousand Oaks, CA: Sage.</w:t>
      </w:r>
    </w:p>
    <w:p w14:paraId="0FCF8AFC"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Adams, Tony E. (2005). Speaking for others: Finding the "</w:t>
      </w:r>
      <w:proofErr w:type="spellStart"/>
      <w:r w:rsidRPr="00A756B8">
        <w:rPr>
          <w:color w:val="000000"/>
        </w:rPr>
        <w:t>whos</w:t>
      </w:r>
      <w:proofErr w:type="spellEnd"/>
      <w:r w:rsidRPr="00A756B8">
        <w:rPr>
          <w:color w:val="000000"/>
        </w:rPr>
        <w:t>" of discourse. </w:t>
      </w:r>
      <w:r w:rsidRPr="00A756B8">
        <w:rPr>
          <w:rStyle w:val="fqscharitalic"/>
          <w:i/>
          <w:iCs/>
          <w:color w:val="000000"/>
        </w:rPr>
        <w:t>Soundings</w:t>
      </w:r>
      <w:r w:rsidRPr="00A756B8">
        <w:rPr>
          <w:color w:val="000000"/>
        </w:rPr>
        <w:t>,</w:t>
      </w:r>
      <w:r w:rsidRPr="00A756B8">
        <w:rPr>
          <w:rStyle w:val="fqscharitalic"/>
          <w:i/>
          <w:iCs/>
          <w:color w:val="000000"/>
        </w:rPr>
        <w:t> 88</w:t>
      </w:r>
      <w:r w:rsidRPr="00A756B8">
        <w:rPr>
          <w:color w:val="000000"/>
        </w:rPr>
        <w:t>(3-4), 331-345.</w:t>
      </w:r>
    </w:p>
    <w:p w14:paraId="281391C2"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Adams, Tony E. (2006). Seeking father: Relationally reframing a troubled love story. </w:t>
      </w:r>
      <w:r w:rsidRPr="00A756B8">
        <w:rPr>
          <w:rStyle w:val="fqscharitalic"/>
          <w:i/>
          <w:iCs/>
          <w:color w:val="000000"/>
        </w:rPr>
        <w:t>Qualitative Inquiry</w:t>
      </w:r>
      <w:r w:rsidRPr="00A756B8">
        <w:rPr>
          <w:color w:val="000000"/>
        </w:rPr>
        <w:t>,</w:t>
      </w:r>
      <w:r w:rsidRPr="00A756B8">
        <w:rPr>
          <w:rStyle w:val="fqscharitalic"/>
          <w:i/>
          <w:iCs/>
          <w:color w:val="000000"/>
        </w:rPr>
        <w:t> 12</w:t>
      </w:r>
      <w:r w:rsidRPr="00A756B8">
        <w:rPr>
          <w:color w:val="000000"/>
        </w:rPr>
        <w:t>(4), 704-723.</w:t>
      </w:r>
    </w:p>
    <w:p w14:paraId="11CB7966"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Adams, Tony E. (2008). A review of narrative ethics. </w:t>
      </w:r>
      <w:r w:rsidRPr="00A756B8">
        <w:rPr>
          <w:rStyle w:val="fqscharitalic"/>
          <w:i/>
          <w:iCs/>
          <w:color w:val="000000"/>
        </w:rPr>
        <w:t>Qualitative Inquiry</w:t>
      </w:r>
      <w:r w:rsidRPr="00A756B8">
        <w:rPr>
          <w:color w:val="000000"/>
        </w:rPr>
        <w:t>,</w:t>
      </w:r>
      <w:r w:rsidRPr="00A756B8">
        <w:rPr>
          <w:rStyle w:val="fqscharitalic"/>
          <w:i/>
          <w:iCs/>
          <w:color w:val="000000"/>
        </w:rPr>
        <w:t> 14</w:t>
      </w:r>
      <w:r w:rsidRPr="00A756B8">
        <w:rPr>
          <w:color w:val="000000"/>
        </w:rPr>
        <w:t>(2), 175-194.</w:t>
      </w:r>
    </w:p>
    <w:p w14:paraId="45FD0131"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Anderson, Leon (2006). Analytic autoethnography. </w:t>
      </w:r>
      <w:r w:rsidRPr="00A756B8">
        <w:rPr>
          <w:rStyle w:val="fqscharitalic"/>
          <w:i/>
          <w:iCs/>
          <w:color w:val="000000"/>
        </w:rPr>
        <w:t>Journal of Contemporary Ethnography</w:t>
      </w:r>
      <w:r w:rsidRPr="00A756B8">
        <w:rPr>
          <w:color w:val="000000"/>
        </w:rPr>
        <w:t>,</w:t>
      </w:r>
      <w:r w:rsidRPr="00A756B8">
        <w:rPr>
          <w:rStyle w:val="fqscharitalic"/>
          <w:i/>
          <w:iCs/>
          <w:color w:val="000000"/>
        </w:rPr>
        <w:t> 35</w:t>
      </w:r>
      <w:r w:rsidRPr="00A756B8">
        <w:rPr>
          <w:color w:val="000000"/>
        </w:rPr>
        <w:t>(4), 373-395.</w:t>
      </w:r>
    </w:p>
    <w:p w14:paraId="1623850D"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Anzaldúa, Gloria (1987). </w:t>
      </w:r>
      <w:r w:rsidRPr="00A756B8">
        <w:rPr>
          <w:rStyle w:val="fqscharitalic"/>
          <w:i/>
          <w:iCs/>
          <w:color w:val="000000"/>
        </w:rPr>
        <w:t>Borderlands/La Frontera: The new mestiza</w:t>
      </w:r>
      <w:r w:rsidRPr="00A756B8">
        <w:rPr>
          <w:color w:val="000000"/>
        </w:rPr>
        <w:t>. San Francisco: Aunt Lute Books.</w:t>
      </w:r>
    </w:p>
    <w:p w14:paraId="6BB40BCD"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Atkinson, Paul (1997). Narrative turn or blind alley? </w:t>
      </w:r>
      <w:r w:rsidRPr="00A756B8">
        <w:rPr>
          <w:rStyle w:val="fqscharitalic"/>
          <w:i/>
          <w:iCs/>
          <w:color w:val="000000"/>
        </w:rPr>
        <w:t>Qualitative Health Research</w:t>
      </w:r>
      <w:r w:rsidRPr="00A756B8">
        <w:rPr>
          <w:color w:val="000000"/>
        </w:rPr>
        <w:t>,</w:t>
      </w:r>
      <w:r w:rsidRPr="00A756B8">
        <w:rPr>
          <w:rStyle w:val="fqscharitalic"/>
          <w:i/>
          <w:iCs/>
          <w:color w:val="000000"/>
        </w:rPr>
        <w:t> 7</w:t>
      </w:r>
      <w:r w:rsidRPr="00A756B8">
        <w:rPr>
          <w:color w:val="000000"/>
        </w:rPr>
        <w:t>(3), 325-344.</w:t>
      </w:r>
    </w:p>
    <w:p w14:paraId="7535ADA2"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Atkinson, Robert (2007). The life story interview as a bridge in narrative inquiry. In D. Jean </w:t>
      </w:r>
      <w:proofErr w:type="spellStart"/>
      <w:r w:rsidRPr="00A756B8">
        <w:rPr>
          <w:color w:val="000000"/>
        </w:rPr>
        <w:t>Clandinin</w:t>
      </w:r>
      <w:proofErr w:type="spellEnd"/>
      <w:r w:rsidRPr="00A756B8">
        <w:rPr>
          <w:color w:val="000000"/>
        </w:rPr>
        <w:t xml:space="preserve"> (Ed.), </w:t>
      </w:r>
      <w:r w:rsidRPr="00A756B8">
        <w:rPr>
          <w:rStyle w:val="fqscharitalic"/>
          <w:i/>
          <w:iCs/>
          <w:color w:val="000000"/>
        </w:rPr>
        <w:t>Handbook of narrative inquiry</w:t>
      </w:r>
      <w:r w:rsidRPr="00A756B8">
        <w:rPr>
          <w:color w:val="000000"/>
        </w:rPr>
        <w:t> (pp.224-245). Thousand Oaks, CA: Sage.</w:t>
      </w:r>
    </w:p>
    <w:p w14:paraId="27530AED"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lastRenderedPageBreak/>
        <w:t>Barthes, Roland (1977). </w:t>
      </w:r>
      <w:r w:rsidRPr="00A756B8">
        <w:rPr>
          <w:rStyle w:val="fqscharitalic"/>
          <w:i/>
          <w:iCs/>
          <w:color w:val="000000"/>
        </w:rPr>
        <w:t>Image, music, text</w:t>
      </w:r>
      <w:r w:rsidRPr="00A756B8">
        <w:rPr>
          <w:color w:val="000000"/>
        </w:rPr>
        <w:t> (transl. by S. Heath). New York: Hill and Wang.</w:t>
      </w:r>
    </w:p>
    <w:p w14:paraId="37D6EF4E"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Berry, Keith (2005). To the "speeches" themselves: An ethnographic and phenomenological account of emergent identity formation. </w:t>
      </w:r>
      <w:r w:rsidRPr="00A756B8">
        <w:rPr>
          <w:rStyle w:val="fqscharitalic"/>
          <w:i/>
          <w:iCs/>
          <w:color w:val="000000"/>
        </w:rPr>
        <w:t>International Journal of Communication</w:t>
      </w:r>
      <w:r w:rsidRPr="00A756B8">
        <w:rPr>
          <w:color w:val="000000"/>
        </w:rPr>
        <w:t>,</w:t>
      </w:r>
      <w:r w:rsidRPr="00A756B8">
        <w:rPr>
          <w:rStyle w:val="fqscharitalic"/>
          <w:i/>
          <w:iCs/>
          <w:color w:val="000000"/>
        </w:rPr>
        <w:t> 15</w:t>
      </w:r>
      <w:r w:rsidRPr="00A756B8">
        <w:rPr>
          <w:color w:val="000000"/>
        </w:rPr>
        <w:t>(1-2), 21-50.</w:t>
      </w:r>
    </w:p>
    <w:p w14:paraId="4BA74892"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Berry, Keith (2007). Embracing the catastrophe: Gay body seeks acceptance. </w:t>
      </w:r>
      <w:r w:rsidRPr="00A756B8">
        <w:rPr>
          <w:rStyle w:val="fqscharitalic"/>
          <w:i/>
          <w:iCs/>
          <w:color w:val="000000"/>
        </w:rPr>
        <w:t>Qualitative Inquiry</w:t>
      </w:r>
      <w:r w:rsidRPr="00A756B8">
        <w:rPr>
          <w:color w:val="000000"/>
        </w:rPr>
        <w:t>, </w:t>
      </w:r>
      <w:r w:rsidRPr="00A756B8">
        <w:rPr>
          <w:rStyle w:val="fqscharitalic"/>
          <w:i/>
          <w:iCs/>
          <w:color w:val="000000"/>
        </w:rPr>
        <w:t>13</w:t>
      </w:r>
      <w:r w:rsidRPr="00A756B8">
        <w:rPr>
          <w:color w:val="000000"/>
        </w:rPr>
        <w:t>(2), 259-281.</w:t>
      </w:r>
    </w:p>
    <w:p w14:paraId="6B97DC95"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Blair, Carole; Brown, Julie R. &amp; Baxter, Leslie A. (1994). Disciplining the feminine. </w:t>
      </w:r>
      <w:r w:rsidRPr="00A756B8">
        <w:rPr>
          <w:rStyle w:val="fqscharitalic"/>
          <w:i/>
          <w:iCs/>
          <w:color w:val="000000"/>
        </w:rPr>
        <w:t>Quarterly Journal of Speech</w:t>
      </w:r>
      <w:r w:rsidRPr="00A756B8">
        <w:rPr>
          <w:color w:val="000000"/>
        </w:rPr>
        <w:t>,</w:t>
      </w:r>
      <w:r w:rsidRPr="00A756B8">
        <w:rPr>
          <w:rStyle w:val="fqscharitalic"/>
          <w:i/>
          <w:iCs/>
          <w:color w:val="000000"/>
        </w:rPr>
        <w:t> 80</w:t>
      </w:r>
      <w:r w:rsidRPr="00A756B8">
        <w:rPr>
          <w:color w:val="000000"/>
        </w:rPr>
        <w:t>(4), 383-409.</w:t>
      </w:r>
    </w:p>
    <w:p w14:paraId="3BF62E46"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Bochner</w:t>
      </w:r>
      <w:proofErr w:type="spellEnd"/>
      <w:r w:rsidRPr="00A756B8">
        <w:rPr>
          <w:color w:val="000000"/>
        </w:rPr>
        <w:t>, Arthur P. &amp; Ellis, Carolyn (1995). Telling and living: Narrative co-construction and the practices of interpersonal relationships. In Wendy Leeds-Hurwitz (Ed.), </w:t>
      </w:r>
      <w:r w:rsidRPr="00A756B8">
        <w:rPr>
          <w:rStyle w:val="fqscharitalic"/>
          <w:i/>
          <w:iCs/>
          <w:color w:val="000000"/>
        </w:rPr>
        <w:t>Social approaches to communication</w:t>
      </w:r>
      <w:r w:rsidRPr="00A756B8">
        <w:rPr>
          <w:color w:val="000000"/>
        </w:rPr>
        <w:t> (pp.201-213). New York: Guilford.</w:t>
      </w:r>
    </w:p>
    <w:p w14:paraId="6E5A0DDE"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Bochner</w:t>
      </w:r>
      <w:proofErr w:type="spellEnd"/>
      <w:r w:rsidRPr="00A756B8">
        <w:rPr>
          <w:color w:val="000000"/>
        </w:rPr>
        <w:t>, Arthur P. &amp; </w:t>
      </w:r>
      <w:hyperlink r:id="rId30" w:tgtFrame="_self" w:history="1">
        <w:r w:rsidRPr="00A756B8">
          <w:rPr>
            <w:rStyle w:val="Hyperlink"/>
            <w:color w:val="996600"/>
          </w:rPr>
          <w:t>Ellis, Carolyn</w:t>
        </w:r>
      </w:hyperlink>
      <w:r w:rsidRPr="00A756B8">
        <w:rPr>
          <w:color w:val="000000"/>
        </w:rPr>
        <w:t> (1992). Personal narrative as a social approach to interpersonal communication. </w:t>
      </w:r>
      <w:r w:rsidRPr="00A756B8">
        <w:rPr>
          <w:rStyle w:val="fqscharitalic"/>
          <w:i/>
          <w:iCs/>
          <w:color w:val="000000"/>
        </w:rPr>
        <w:t>Communication Theory</w:t>
      </w:r>
      <w:r w:rsidRPr="00A756B8">
        <w:rPr>
          <w:color w:val="000000"/>
        </w:rPr>
        <w:t>,</w:t>
      </w:r>
      <w:r w:rsidRPr="00A756B8">
        <w:rPr>
          <w:rStyle w:val="fqscharitalic"/>
          <w:i/>
          <w:iCs/>
          <w:color w:val="000000"/>
        </w:rPr>
        <w:t> 2</w:t>
      </w:r>
      <w:r w:rsidRPr="00A756B8">
        <w:rPr>
          <w:color w:val="000000"/>
        </w:rPr>
        <w:t>(2), 165-172.</w:t>
      </w:r>
    </w:p>
    <w:p w14:paraId="0FD2E0B5"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Bochner</w:t>
      </w:r>
      <w:proofErr w:type="spellEnd"/>
      <w:r w:rsidRPr="00A756B8">
        <w:rPr>
          <w:color w:val="000000"/>
        </w:rPr>
        <w:t>, Arthur P. (1984). The functions of human communication in interpersonal bonding. In Carroll C. Arnold &amp; John W. Bowers (Eds.), </w:t>
      </w:r>
      <w:r w:rsidRPr="00A756B8">
        <w:rPr>
          <w:rStyle w:val="fqscharitalic"/>
          <w:i/>
          <w:iCs/>
          <w:color w:val="000000"/>
        </w:rPr>
        <w:t>Handbook of rhetorical and communication theory</w:t>
      </w:r>
      <w:r w:rsidRPr="00A756B8">
        <w:rPr>
          <w:color w:val="000000"/>
        </w:rPr>
        <w:t> (pp.544-621). Boston: Allyn and Bacon.</w:t>
      </w:r>
    </w:p>
    <w:p w14:paraId="28033854"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Bochner</w:t>
      </w:r>
      <w:proofErr w:type="spellEnd"/>
      <w:r w:rsidRPr="00A756B8">
        <w:rPr>
          <w:color w:val="000000"/>
        </w:rPr>
        <w:t>, Arthur P. (1994). Perspectives on inquiry II: Theories and stories. In Mark L. Knapp &amp; Gerald R. Miller (Eds.), </w:t>
      </w:r>
      <w:r w:rsidRPr="00A756B8">
        <w:rPr>
          <w:rStyle w:val="fqscharitalic"/>
          <w:i/>
          <w:iCs/>
          <w:color w:val="000000"/>
        </w:rPr>
        <w:t>Handbook of interpersonal communication</w:t>
      </w:r>
      <w:r w:rsidRPr="00A756B8">
        <w:rPr>
          <w:color w:val="000000"/>
        </w:rPr>
        <w:t> (pp.21-41). Thousand Oaks, CA: Sage.</w:t>
      </w:r>
    </w:p>
    <w:p w14:paraId="1E94A750"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Bochner</w:t>
      </w:r>
      <w:proofErr w:type="spellEnd"/>
      <w:r w:rsidRPr="00A756B8">
        <w:rPr>
          <w:color w:val="000000"/>
        </w:rPr>
        <w:t>, Arthur P. (1997). It's about time: Narrative and the divided self. </w:t>
      </w:r>
      <w:r w:rsidRPr="00A756B8">
        <w:rPr>
          <w:rStyle w:val="fqscharitalic"/>
          <w:i/>
          <w:iCs/>
          <w:color w:val="000000"/>
        </w:rPr>
        <w:t>Qualitative Inquiry</w:t>
      </w:r>
      <w:r w:rsidRPr="00A756B8">
        <w:rPr>
          <w:color w:val="000000"/>
        </w:rPr>
        <w:t>,</w:t>
      </w:r>
      <w:r w:rsidRPr="00A756B8">
        <w:rPr>
          <w:rStyle w:val="fqscharitalic"/>
          <w:i/>
          <w:iCs/>
          <w:color w:val="000000"/>
        </w:rPr>
        <w:t> 3</w:t>
      </w:r>
      <w:r w:rsidRPr="00A756B8">
        <w:rPr>
          <w:color w:val="000000"/>
        </w:rPr>
        <w:t>(4), 418-438.</w:t>
      </w:r>
    </w:p>
    <w:p w14:paraId="47E375C3"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Bochner</w:t>
      </w:r>
      <w:proofErr w:type="spellEnd"/>
      <w:r w:rsidRPr="00A756B8">
        <w:rPr>
          <w:color w:val="000000"/>
        </w:rPr>
        <w:t>, Arthur P. (2000). Criteria against ourselves. </w:t>
      </w:r>
      <w:r w:rsidRPr="00A756B8">
        <w:rPr>
          <w:rStyle w:val="fqscharitalic"/>
          <w:i/>
          <w:iCs/>
          <w:color w:val="000000"/>
        </w:rPr>
        <w:t>Qualitative Inquiry</w:t>
      </w:r>
      <w:r w:rsidRPr="00A756B8">
        <w:rPr>
          <w:color w:val="000000"/>
        </w:rPr>
        <w:t>,</w:t>
      </w:r>
      <w:r w:rsidRPr="00A756B8">
        <w:rPr>
          <w:rStyle w:val="fqscharitalic"/>
          <w:i/>
          <w:iCs/>
          <w:color w:val="000000"/>
        </w:rPr>
        <w:t> 6</w:t>
      </w:r>
      <w:r w:rsidRPr="00A756B8">
        <w:rPr>
          <w:color w:val="000000"/>
        </w:rPr>
        <w:t>(2), 266-272.</w:t>
      </w:r>
    </w:p>
    <w:p w14:paraId="7C29A18A"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Bochner</w:t>
      </w:r>
      <w:proofErr w:type="spellEnd"/>
      <w:r w:rsidRPr="00A756B8">
        <w:rPr>
          <w:color w:val="000000"/>
        </w:rPr>
        <w:t>, Arthur P. (2001). Narrative's virtues. </w:t>
      </w:r>
      <w:r w:rsidRPr="00A756B8">
        <w:rPr>
          <w:rStyle w:val="fqscharitalic"/>
          <w:i/>
          <w:iCs/>
          <w:color w:val="000000"/>
        </w:rPr>
        <w:t>Qualitative Inquiry</w:t>
      </w:r>
      <w:r w:rsidRPr="00A756B8">
        <w:rPr>
          <w:color w:val="000000"/>
        </w:rPr>
        <w:t>,</w:t>
      </w:r>
      <w:r w:rsidRPr="00A756B8">
        <w:rPr>
          <w:rStyle w:val="fqscharitalic"/>
          <w:i/>
          <w:iCs/>
          <w:color w:val="000000"/>
        </w:rPr>
        <w:t> 7</w:t>
      </w:r>
      <w:r w:rsidRPr="00A756B8">
        <w:rPr>
          <w:color w:val="000000"/>
        </w:rPr>
        <w:t>(2), 131-157.</w:t>
      </w:r>
    </w:p>
    <w:p w14:paraId="642713F5"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Bochner</w:t>
      </w:r>
      <w:proofErr w:type="spellEnd"/>
      <w:r w:rsidRPr="00A756B8">
        <w:rPr>
          <w:color w:val="000000"/>
        </w:rPr>
        <w:t>, Arthur P. (2002). Perspectives on inquiry III: The moral of stories. In Mark L. Knapp &amp; John A. Daly (Eds.), </w:t>
      </w:r>
      <w:r w:rsidRPr="00A756B8">
        <w:rPr>
          <w:rStyle w:val="fqscharitalic"/>
          <w:i/>
          <w:iCs/>
          <w:color w:val="000000"/>
        </w:rPr>
        <w:t>Handbook of interpersonal communication</w:t>
      </w:r>
      <w:r w:rsidRPr="00A756B8">
        <w:rPr>
          <w:color w:val="000000"/>
        </w:rPr>
        <w:t> (3rd ed., pp.73-101). Thousand Oaks, CA: Sage.</w:t>
      </w:r>
    </w:p>
    <w:p w14:paraId="4A357C57"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Borchard</w:t>
      </w:r>
      <w:proofErr w:type="spellEnd"/>
      <w:r w:rsidRPr="00A756B8">
        <w:rPr>
          <w:color w:val="000000"/>
        </w:rPr>
        <w:t>, Kurt (1998). Between a hard rock and postmodernism: Opening the Hard Rock Hotel and Casino. </w:t>
      </w:r>
      <w:r w:rsidRPr="00A756B8">
        <w:rPr>
          <w:rStyle w:val="fqscharitalic"/>
          <w:i/>
          <w:iCs/>
          <w:color w:val="000000"/>
        </w:rPr>
        <w:t>Journal of Contemporary Ethnography</w:t>
      </w:r>
      <w:r w:rsidRPr="00A756B8">
        <w:rPr>
          <w:color w:val="000000"/>
        </w:rPr>
        <w:t>,</w:t>
      </w:r>
      <w:r w:rsidRPr="00A756B8">
        <w:rPr>
          <w:rStyle w:val="fqscharitalic"/>
          <w:i/>
          <w:iCs/>
          <w:color w:val="000000"/>
        </w:rPr>
        <w:t> 27</w:t>
      </w:r>
      <w:r w:rsidRPr="00A756B8">
        <w:rPr>
          <w:color w:val="000000"/>
        </w:rPr>
        <w:t>(2), 242-269.</w:t>
      </w:r>
    </w:p>
    <w:p w14:paraId="00EFE363"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Boylorn</w:t>
      </w:r>
      <w:proofErr w:type="spellEnd"/>
      <w:r w:rsidRPr="00A756B8">
        <w:rPr>
          <w:color w:val="000000"/>
        </w:rPr>
        <w:t xml:space="preserve">, Robin M. (2006). E pluribus </w:t>
      </w:r>
      <w:proofErr w:type="spellStart"/>
      <w:r w:rsidRPr="00A756B8">
        <w:rPr>
          <w:color w:val="000000"/>
        </w:rPr>
        <w:t>unum</w:t>
      </w:r>
      <w:proofErr w:type="spellEnd"/>
      <w:r w:rsidRPr="00A756B8">
        <w:rPr>
          <w:color w:val="000000"/>
        </w:rPr>
        <w:t xml:space="preserve"> (out of many, one). </w:t>
      </w:r>
      <w:r w:rsidRPr="00A756B8">
        <w:rPr>
          <w:rStyle w:val="fqscharitalic"/>
          <w:i/>
          <w:iCs/>
          <w:color w:val="000000"/>
        </w:rPr>
        <w:t>Qualitative Inquiry</w:t>
      </w:r>
      <w:r w:rsidRPr="00A756B8">
        <w:rPr>
          <w:color w:val="000000"/>
        </w:rPr>
        <w:t>, </w:t>
      </w:r>
      <w:r w:rsidRPr="00A756B8">
        <w:rPr>
          <w:rStyle w:val="fqscharitalic"/>
          <w:i/>
          <w:iCs/>
          <w:color w:val="000000"/>
        </w:rPr>
        <w:t>12</w:t>
      </w:r>
      <w:r w:rsidRPr="00A756B8">
        <w:rPr>
          <w:color w:val="000000"/>
        </w:rPr>
        <w:t>(4), 651-680.</w:t>
      </w:r>
    </w:p>
    <w:p w14:paraId="0DF2EEE9"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Boylorn</w:t>
      </w:r>
      <w:proofErr w:type="spellEnd"/>
      <w:r w:rsidRPr="00A756B8">
        <w:rPr>
          <w:color w:val="000000"/>
        </w:rPr>
        <w:t>, Robin M. (2008). As seen on TV: An autoethnographic reflection on race and reality television. </w:t>
      </w:r>
      <w:r w:rsidRPr="00A756B8">
        <w:rPr>
          <w:rStyle w:val="fqscharitalic"/>
          <w:i/>
          <w:iCs/>
          <w:color w:val="000000"/>
        </w:rPr>
        <w:t>Critical Studies in Media Communication</w:t>
      </w:r>
      <w:r w:rsidRPr="00A756B8">
        <w:rPr>
          <w:color w:val="000000"/>
        </w:rPr>
        <w:t>,</w:t>
      </w:r>
      <w:r w:rsidRPr="00A756B8">
        <w:rPr>
          <w:rStyle w:val="fqscharitalic"/>
          <w:i/>
          <w:iCs/>
          <w:color w:val="000000"/>
        </w:rPr>
        <w:t> 25</w:t>
      </w:r>
      <w:r w:rsidRPr="00A756B8">
        <w:rPr>
          <w:color w:val="000000"/>
        </w:rPr>
        <w:t>(4), 413-433.</w:t>
      </w:r>
    </w:p>
    <w:p w14:paraId="3BC41EFD"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Bruner, Jerome (1993). The autobiographical process. In Robert Folkenflik (Ed.), </w:t>
      </w:r>
      <w:r w:rsidRPr="00A756B8">
        <w:rPr>
          <w:rStyle w:val="fqscharitalic"/>
          <w:i/>
          <w:iCs/>
          <w:color w:val="000000"/>
        </w:rPr>
        <w:t>The culture of autobiography: Constructions of self-representation</w:t>
      </w:r>
      <w:r w:rsidRPr="00A756B8">
        <w:rPr>
          <w:color w:val="000000"/>
        </w:rPr>
        <w:t> (pp.38-56). Stanford, CA: Stanford University Press.</w:t>
      </w:r>
    </w:p>
    <w:p w14:paraId="6DE593AE"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Buzard</w:t>
      </w:r>
      <w:proofErr w:type="spellEnd"/>
      <w:r w:rsidRPr="00A756B8">
        <w:rPr>
          <w:color w:val="000000"/>
        </w:rPr>
        <w:t>, James (2003). On auto-ethnographic authority. </w:t>
      </w:r>
      <w:r w:rsidRPr="00A756B8">
        <w:rPr>
          <w:rStyle w:val="fqscharitalic"/>
          <w:i/>
          <w:iCs/>
          <w:color w:val="000000"/>
        </w:rPr>
        <w:t>The Yale Journal of Criticism</w:t>
      </w:r>
      <w:r w:rsidRPr="00A756B8">
        <w:rPr>
          <w:color w:val="000000"/>
        </w:rPr>
        <w:t>,</w:t>
      </w:r>
      <w:r w:rsidRPr="00A756B8">
        <w:rPr>
          <w:rStyle w:val="fqscharitalic"/>
          <w:i/>
          <w:iCs/>
          <w:color w:val="000000"/>
        </w:rPr>
        <w:t> 16</w:t>
      </w:r>
      <w:r w:rsidRPr="00A756B8">
        <w:rPr>
          <w:color w:val="000000"/>
        </w:rPr>
        <w:t>(1), 61-91.</w:t>
      </w:r>
    </w:p>
    <w:p w14:paraId="1B5F728C"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Caulley</w:t>
      </w:r>
      <w:proofErr w:type="spellEnd"/>
      <w:r w:rsidRPr="00A756B8">
        <w:rPr>
          <w:color w:val="000000"/>
        </w:rPr>
        <w:t xml:space="preserve">, Darrel N. (2008). Making qualitative research reports less boring: The techniques of writing creative </w:t>
      </w:r>
      <w:proofErr w:type="spellStart"/>
      <w:proofErr w:type="gramStart"/>
      <w:r w:rsidRPr="00A756B8">
        <w:rPr>
          <w:color w:val="000000"/>
        </w:rPr>
        <w:t>nonfiction.</w:t>
      </w:r>
      <w:r w:rsidRPr="00A756B8">
        <w:rPr>
          <w:rStyle w:val="fqscharitalic"/>
          <w:i/>
          <w:iCs/>
          <w:color w:val="000000"/>
        </w:rPr>
        <w:t>Qualitative</w:t>
      </w:r>
      <w:proofErr w:type="spellEnd"/>
      <w:proofErr w:type="gramEnd"/>
      <w:r w:rsidRPr="00A756B8">
        <w:rPr>
          <w:rStyle w:val="fqscharitalic"/>
          <w:i/>
          <w:iCs/>
          <w:color w:val="000000"/>
        </w:rPr>
        <w:t xml:space="preserve"> Inquiry</w:t>
      </w:r>
      <w:r w:rsidRPr="00A756B8">
        <w:rPr>
          <w:color w:val="000000"/>
        </w:rPr>
        <w:t>,</w:t>
      </w:r>
      <w:r w:rsidRPr="00A756B8">
        <w:rPr>
          <w:rStyle w:val="fqscharitalic"/>
          <w:i/>
          <w:iCs/>
          <w:color w:val="000000"/>
        </w:rPr>
        <w:t> 14</w:t>
      </w:r>
      <w:r w:rsidRPr="00A756B8">
        <w:rPr>
          <w:color w:val="000000"/>
        </w:rPr>
        <w:t>(3), 424-449.</w:t>
      </w:r>
    </w:p>
    <w:p w14:paraId="37BA33E9"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Charmaz, Kathy (1983). The grounded theory method: An explication and interpretation. In Robert M. Emerson (Ed.), </w:t>
      </w:r>
      <w:r w:rsidRPr="00A756B8">
        <w:rPr>
          <w:rStyle w:val="fqscharitalic"/>
          <w:i/>
          <w:iCs/>
          <w:color w:val="000000"/>
        </w:rPr>
        <w:t>Contemporary field research: A collection of readings</w:t>
      </w:r>
      <w:r w:rsidRPr="00A756B8">
        <w:rPr>
          <w:color w:val="000000"/>
        </w:rPr>
        <w:t> (pp.109-125). Prospect Heights, IL: Waveland.</w:t>
      </w:r>
    </w:p>
    <w:p w14:paraId="7D663D52"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Conquergood</w:t>
      </w:r>
      <w:proofErr w:type="spellEnd"/>
      <w:r w:rsidRPr="00A756B8">
        <w:rPr>
          <w:color w:val="000000"/>
        </w:rPr>
        <w:t>, Dwight (1991). Rethinking ethnography: Towards a critical cultural politics. </w:t>
      </w:r>
      <w:r w:rsidRPr="00A756B8">
        <w:rPr>
          <w:rStyle w:val="fqscharitalic"/>
          <w:i/>
          <w:iCs/>
          <w:color w:val="000000"/>
        </w:rPr>
        <w:t>Communication Monographs</w:t>
      </w:r>
      <w:r w:rsidRPr="00A756B8">
        <w:rPr>
          <w:color w:val="000000"/>
        </w:rPr>
        <w:t>,</w:t>
      </w:r>
      <w:r w:rsidRPr="00A756B8">
        <w:rPr>
          <w:rStyle w:val="fqscharitalic"/>
          <w:i/>
          <w:iCs/>
          <w:color w:val="000000"/>
        </w:rPr>
        <w:t> 58</w:t>
      </w:r>
      <w:r w:rsidRPr="00A756B8">
        <w:rPr>
          <w:color w:val="000000"/>
        </w:rPr>
        <w:t>, 179-194.</w:t>
      </w:r>
    </w:p>
    <w:p w14:paraId="564B5E29"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Corey, Frederick C. (1996). Performing sexualities in an Irish pub. </w:t>
      </w:r>
      <w:r w:rsidRPr="00A756B8">
        <w:rPr>
          <w:rStyle w:val="fqscharitalic"/>
          <w:i/>
          <w:iCs/>
          <w:color w:val="000000"/>
        </w:rPr>
        <w:t>Text and Performance Quarterly</w:t>
      </w:r>
      <w:r w:rsidRPr="00A756B8">
        <w:rPr>
          <w:color w:val="000000"/>
        </w:rPr>
        <w:t>,</w:t>
      </w:r>
      <w:r w:rsidRPr="00A756B8">
        <w:rPr>
          <w:rStyle w:val="fqscharitalic"/>
          <w:i/>
          <w:iCs/>
          <w:color w:val="000000"/>
        </w:rPr>
        <w:t> 16</w:t>
      </w:r>
      <w:r w:rsidRPr="00A756B8">
        <w:rPr>
          <w:color w:val="000000"/>
        </w:rPr>
        <w:t>(2), 146-160.</w:t>
      </w:r>
    </w:p>
    <w:p w14:paraId="24682FFA"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Couser</w:t>
      </w:r>
      <w:proofErr w:type="spellEnd"/>
      <w:r w:rsidRPr="00A756B8">
        <w:rPr>
          <w:color w:val="000000"/>
        </w:rPr>
        <w:t>, G. Thomas (1997). </w:t>
      </w:r>
      <w:r w:rsidRPr="00A756B8">
        <w:rPr>
          <w:rStyle w:val="fqscharitalic"/>
          <w:i/>
          <w:iCs/>
          <w:color w:val="000000"/>
        </w:rPr>
        <w:t>Recovering bodies: Illness, disability, and life writing</w:t>
      </w:r>
      <w:r w:rsidRPr="00A756B8">
        <w:rPr>
          <w:color w:val="000000"/>
        </w:rPr>
        <w:t>. Madison: University of Wisconsin Press.</w:t>
      </w:r>
    </w:p>
    <w:p w14:paraId="4C053E92"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lastRenderedPageBreak/>
        <w:t xml:space="preserve">Crawley, Sara L. (2002). "They still don't understand why I hate wearing dresses!" An autoethnographic rant on dresses, boats, and </w:t>
      </w:r>
      <w:proofErr w:type="spellStart"/>
      <w:r w:rsidRPr="00A756B8">
        <w:rPr>
          <w:color w:val="000000"/>
        </w:rPr>
        <w:t>butchness</w:t>
      </w:r>
      <w:proofErr w:type="spellEnd"/>
      <w:r w:rsidRPr="00A756B8">
        <w:rPr>
          <w:color w:val="000000"/>
        </w:rPr>
        <w:t>. </w:t>
      </w:r>
      <w:r w:rsidRPr="00A756B8">
        <w:rPr>
          <w:rStyle w:val="fqscharitalic"/>
          <w:i/>
          <w:iCs/>
          <w:color w:val="000000"/>
        </w:rPr>
        <w:t>Cultural Studies ↔ Critical Methodologies</w:t>
      </w:r>
      <w:r w:rsidRPr="00A756B8">
        <w:rPr>
          <w:color w:val="000000"/>
        </w:rPr>
        <w:t>,</w:t>
      </w:r>
      <w:r w:rsidRPr="00A756B8">
        <w:rPr>
          <w:rStyle w:val="fqscharitalic"/>
          <w:i/>
          <w:iCs/>
          <w:color w:val="000000"/>
        </w:rPr>
        <w:t> 2</w:t>
      </w:r>
      <w:r w:rsidRPr="00A756B8">
        <w:rPr>
          <w:color w:val="000000"/>
        </w:rPr>
        <w:t>(1), 69-92.</w:t>
      </w:r>
    </w:p>
    <w:p w14:paraId="003E3C16"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Davis, Amira M. (2009). What we tell our daughters and ourselves about "</w:t>
      </w:r>
      <w:proofErr w:type="spellStart"/>
      <w:r w:rsidRPr="00A756B8">
        <w:rPr>
          <w:color w:val="000000"/>
        </w:rPr>
        <w:t>ssshhh</w:t>
      </w:r>
      <w:proofErr w:type="spellEnd"/>
      <w:r w:rsidRPr="00A756B8">
        <w:rPr>
          <w:color w:val="000000"/>
        </w:rPr>
        <w:t>!!!!" hysterectomy. </w:t>
      </w:r>
      <w:r w:rsidRPr="00A756B8">
        <w:rPr>
          <w:rStyle w:val="fqscharitalic"/>
          <w:i/>
          <w:iCs/>
          <w:color w:val="000000"/>
        </w:rPr>
        <w:t>Qualitative Inquiry</w:t>
      </w:r>
      <w:r w:rsidRPr="00A756B8">
        <w:rPr>
          <w:color w:val="000000"/>
        </w:rPr>
        <w:t>,</w:t>
      </w:r>
      <w:r w:rsidRPr="00A756B8">
        <w:rPr>
          <w:rStyle w:val="fqscharitalic"/>
          <w:i/>
          <w:iCs/>
          <w:color w:val="000000"/>
        </w:rPr>
        <w:t>15</w:t>
      </w:r>
      <w:r w:rsidRPr="00A756B8">
        <w:rPr>
          <w:color w:val="000000"/>
        </w:rPr>
        <w:t>(8), 1303-1337.</w:t>
      </w:r>
    </w:p>
    <w:p w14:paraId="6E93D1AF"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de </w:t>
      </w:r>
      <w:proofErr w:type="spellStart"/>
      <w:r w:rsidRPr="00A756B8">
        <w:rPr>
          <w:color w:val="000000"/>
        </w:rPr>
        <w:t>Certeau</w:t>
      </w:r>
      <w:proofErr w:type="spellEnd"/>
      <w:r w:rsidRPr="00A756B8">
        <w:rPr>
          <w:color w:val="000000"/>
        </w:rPr>
        <w:t>, Michel (1984). </w:t>
      </w:r>
      <w:r w:rsidRPr="00A756B8">
        <w:rPr>
          <w:rStyle w:val="fqscharitalic"/>
          <w:i/>
          <w:iCs/>
          <w:color w:val="000000"/>
        </w:rPr>
        <w:t>The practice of everyday life</w:t>
      </w:r>
      <w:r w:rsidRPr="00A756B8">
        <w:rPr>
          <w:color w:val="000000"/>
        </w:rPr>
        <w:t> (transl. by S. Rendall). Berkeley: University of California Press.</w:t>
      </w:r>
    </w:p>
    <w:p w14:paraId="37E02189"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Delamont, Sara (2009). The only honest thing: Autoethnography, reflexivity and small crises in fieldwork. </w:t>
      </w:r>
      <w:r w:rsidRPr="00A756B8">
        <w:rPr>
          <w:rStyle w:val="fqscharitalic"/>
          <w:i/>
          <w:iCs/>
          <w:color w:val="000000"/>
        </w:rPr>
        <w:t>Ethnography and Education</w:t>
      </w:r>
      <w:r w:rsidRPr="00A756B8">
        <w:rPr>
          <w:color w:val="000000"/>
        </w:rPr>
        <w:t>,</w:t>
      </w:r>
      <w:r w:rsidRPr="00A756B8">
        <w:rPr>
          <w:rStyle w:val="fqscharitalic"/>
          <w:i/>
          <w:iCs/>
          <w:color w:val="000000"/>
        </w:rPr>
        <w:t> 4</w:t>
      </w:r>
      <w:r w:rsidRPr="00A756B8">
        <w:rPr>
          <w:color w:val="000000"/>
        </w:rPr>
        <w:t>(1), 51-63.</w:t>
      </w:r>
    </w:p>
    <w:p w14:paraId="2C73497B"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Delany, Samuel R. (2004). </w:t>
      </w:r>
      <w:r w:rsidRPr="00A756B8">
        <w:rPr>
          <w:rStyle w:val="fqscharitalic"/>
          <w:i/>
          <w:iCs/>
          <w:color w:val="000000"/>
        </w:rPr>
        <w:t>The motion of light in water</w:t>
      </w:r>
      <w:r w:rsidRPr="00A756B8">
        <w:rPr>
          <w:color w:val="000000"/>
        </w:rPr>
        <w:t>. Minneapolis: University of Minnesota Press.</w:t>
      </w:r>
    </w:p>
    <w:p w14:paraId="5DD6BCD0"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Delpit</w:t>
      </w:r>
      <w:proofErr w:type="spellEnd"/>
      <w:r w:rsidRPr="00A756B8">
        <w:rPr>
          <w:color w:val="000000"/>
        </w:rPr>
        <w:t>, Lisa D. (1996). </w:t>
      </w:r>
      <w:r w:rsidRPr="00A756B8">
        <w:rPr>
          <w:rStyle w:val="fqscharitalic"/>
          <w:i/>
          <w:iCs/>
          <w:color w:val="000000"/>
        </w:rPr>
        <w:t>Other people's children: Cultural conflict in the classroom</w:t>
      </w:r>
      <w:r w:rsidRPr="00A756B8">
        <w:rPr>
          <w:color w:val="000000"/>
        </w:rPr>
        <w:t>. New York: W.W. Norton.</w:t>
      </w:r>
    </w:p>
    <w:p w14:paraId="12165C32"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Denzin, Norman K. &amp; Lincoln, </w:t>
      </w:r>
      <w:proofErr w:type="spellStart"/>
      <w:r w:rsidRPr="00A756B8">
        <w:rPr>
          <w:color w:val="000000"/>
        </w:rPr>
        <w:t>Yvonna</w:t>
      </w:r>
      <w:proofErr w:type="spellEnd"/>
      <w:r w:rsidRPr="00A756B8">
        <w:rPr>
          <w:color w:val="000000"/>
        </w:rPr>
        <w:t xml:space="preserve"> S. (2000). Introduction: The discipline and practice of qualitative research. In Norman K. Denzin &amp; </w:t>
      </w:r>
      <w:proofErr w:type="spellStart"/>
      <w:r w:rsidRPr="00A756B8">
        <w:rPr>
          <w:color w:val="000000"/>
        </w:rPr>
        <w:t>Yvonna</w:t>
      </w:r>
      <w:proofErr w:type="spellEnd"/>
      <w:r w:rsidRPr="00A756B8">
        <w:rPr>
          <w:color w:val="000000"/>
        </w:rPr>
        <w:t xml:space="preserve"> S. Lincoln (Eds.), </w:t>
      </w:r>
      <w:r w:rsidRPr="00A756B8">
        <w:rPr>
          <w:rStyle w:val="fqscharitalic"/>
          <w:i/>
          <w:iCs/>
          <w:color w:val="000000"/>
        </w:rPr>
        <w:t>Handbook of qualitative research</w:t>
      </w:r>
      <w:r w:rsidRPr="00A756B8">
        <w:rPr>
          <w:color w:val="000000"/>
        </w:rPr>
        <w:t> (2nd ed., pp.1-28). Thousand Oaks, CA: Sage.</w:t>
      </w:r>
    </w:p>
    <w:p w14:paraId="7EDB9B77"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Denzin, Norman K. (1989). </w:t>
      </w:r>
      <w:r w:rsidRPr="00A756B8">
        <w:rPr>
          <w:rStyle w:val="fqscharitalic"/>
          <w:i/>
          <w:iCs/>
          <w:color w:val="000000"/>
        </w:rPr>
        <w:t>Interpretive biography</w:t>
      </w:r>
      <w:r w:rsidRPr="00A756B8">
        <w:rPr>
          <w:color w:val="000000"/>
        </w:rPr>
        <w:t>. Newbury Park, CA: Sage.</w:t>
      </w:r>
    </w:p>
    <w:p w14:paraId="49E81200"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Denzin, Norman K. (2004). The war on culture, the war on truth. </w:t>
      </w:r>
      <w:r w:rsidRPr="00A756B8">
        <w:rPr>
          <w:rStyle w:val="fqscharitalic"/>
          <w:i/>
          <w:iCs/>
          <w:color w:val="000000"/>
        </w:rPr>
        <w:t>Cultural Studies &lt;=&gt; Critical Methodologies</w:t>
      </w:r>
      <w:r w:rsidRPr="00A756B8">
        <w:rPr>
          <w:color w:val="000000"/>
        </w:rPr>
        <w:t>,</w:t>
      </w:r>
      <w:r w:rsidRPr="00A756B8">
        <w:rPr>
          <w:rStyle w:val="fqscharitalic"/>
          <w:i/>
          <w:iCs/>
          <w:color w:val="000000"/>
        </w:rPr>
        <w:t> 4</w:t>
      </w:r>
      <w:r w:rsidRPr="00A756B8">
        <w:rPr>
          <w:color w:val="000000"/>
        </w:rPr>
        <w:t>(2), 137-142.</w:t>
      </w:r>
    </w:p>
    <w:p w14:paraId="670767E2"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Denzin, Norman K. (2006). Mother and Mickey. </w:t>
      </w:r>
      <w:r w:rsidRPr="00A756B8">
        <w:rPr>
          <w:rStyle w:val="fqscharitalic"/>
          <w:i/>
          <w:iCs/>
          <w:color w:val="000000"/>
        </w:rPr>
        <w:t>The South Atlantic Quarterly</w:t>
      </w:r>
      <w:r w:rsidRPr="00A756B8">
        <w:rPr>
          <w:color w:val="000000"/>
        </w:rPr>
        <w:t>,</w:t>
      </w:r>
      <w:r w:rsidRPr="00A756B8">
        <w:rPr>
          <w:rStyle w:val="fqscharitalic"/>
          <w:i/>
          <w:iCs/>
          <w:color w:val="000000"/>
        </w:rPr>
        <w:t> 105</w:t>
      </w:r>
      <w:r w:rsidRPr="00A756B8">
        <w:rPr>
          <w:color w:val="000000"/>
        </w:rPr>
        <w:t>(2), 391-395.</w:t>
      </w:r>
    </w:p>
    <w:p w14:paraId="222939CC"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Denzin, Norman K.; Lincoln, </w:t>
      </w:r>
      <w:proofErr w:type="spellStart"/>
      <w:r w:rsidRPr="00A756B8">
        <w:rPr>
          <w:color w:val="000000"/>
        </w:rPr>
        <w:t>Yvonna</w:t>
      </w:r>
      <w:proofErr w:type="spellEnd"/>
      <w:r w:rsidRPr="00A756B8">
        <w:rPr>
          <w:color w:val="000000"/>
        </w:rPr>
        <w:t xml:space="preserve"> S. &amp; Smith, Linda T. (Eds.) (2008). </w:t>
      </w:r>
      <w:r w:rsidRPr="00A756B8">
        <w:rPr>
          <w:rStyle w:val="fqscharitalic"/>
          <w:i/>
          <w:iCs/>
          <w:color w:val="000000"/>
        </w:rPr>
        <w:t>Handbook of critical and indigenous methodologies</w:t>
      </w:r>
      <w:r w:rsidRPr="00A756B8">
        <w:rPr>
          <w:color w:val="000000"/>
        </w:rPr>
        <w:t>. Thousand Oaks, CA: Sage.</w:t>
      </w:r>
    </w:p>
    <w:p w14:paraId="229B01C8"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Derrida, Jacques (1978). </w:t>
      </w:r>
      <w:r w:rsidRPr="00A756B8">
        <w:rPr>
          <w:rStyle w:val="fqscharitalic"/>
          <w:i/>
          <w:iCs/>
          <w:color w:val="000000"/>
        </w:rPr>
        <w:t>Writing and difference</w:t>
      </w:r>
      <w:r w:rsidRPr="00A756B8">
        <w:rPr>
          <w:color w:val="000000"/>
        </w:rPr>
        <w:t> (transl. by A. Bass). Chicago: University of Chicago Press.</w:t>
      </w:r>
    </w:p>
    <w:p w14:paraId="2FA011C0"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Didion, Joan (2005). </w:t>
      </w:r>
      <w:r w:rsidRPr="00A756B8">
        <w:rPr>
          <w:rStyle w:val="fqscharitalic"/>
          <w:i/>
          <w:iCs/>
          <w:color w:val="000000"/>
        </w:rPr>
        <w:t>The year of magical thinking</w:t>
      </w:r>
      <w:r w:rsidRPr="00A756B8">
        <w:rPr>
          <w:color w:val="000000"/>
        </w:rPr>
        <w:t>. New York: A.A. Knopf.</w:t>
      </w:r>
    </w:p>
    <w:p w14:paraId="2AD5C027"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Dossa</w:t>
      </w:r>
      <w:proofErr w:type="spellEnd"/>
      <w:r w:rsidRPr="00A756B8">
        <w:rPr>
          <w:color w:val="000000"/>
        </w:rPr>
        <w:t xml:space="preserve">, </w:t>
      </w:r>
      <w:proofErr w:type="spellStart"/>
      <w:r w:rsidRPr="00A756B8">
        <w:rPr>
          <w:color w:val="000000"/>
        </w:rPr>
        <w:t>Parin</w:t>
      </w:r>
      <w:proofErr w:type="spellEnd"/>
      <w:r w:rsidRPr="00A756B8">
        <w:rPr>
          <w:color w:val="000000"/>
        </w:rPr>
        <w:t xml:space="preserve"> A. (1999). (Re)imagining aging lives: Ethnographic narratives of Muslim women in diaspora. </w:t>
      </w:r>
      <w:r w:rsidRPr="00A756B8">
        <w:rPr>
          <w:rStyle w:val="fqscharitalic"/>
          <w:i/>
          <w:iCs/>
          <w:color w:val="000000"/>
        </w:rPr>
        <w:t>Journal of Cross-Cultural Gerontology</w:t>
      </w:r>
      <w:r w:rsidRPr="00A756B8">
        <w:rPr>
          <w:color w:val="000000"/>
        </w:rPr>
        <w:t>,</w:t>
      </w:r>
      <w:r w:rsidRPr="00A756B8">
        <w:rPr>
          <w:rStyle w:val="fqscharitalic"/>
          <w:i/>
          <w:iCs/>
          <w:color w:val="000000"/>
        </w:rPr>
        <w:t> 14</w:t>
      </w:r>
      <w:r w:rsidRPr="00A756B8">
        <w:rPr>
          <w:color w:val="000000"/>
        </w:rPr>
        <w:t>(3), 245-272.</w:t>
      </w:r>
    </w:p>
    <w:p w14:paraId="653963FE"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Droogsma</w:t>
      </w:r>
      <w:proofErr w:type="spellEnd"/>
      <w:r w:rsidRPr="00A756B8">
        <w:rPr>
          <w:color w:val="000000"/>
        </w:rPr>
        <w:t>, Rachel A. (2007). Redefining Hijab: American Muslim women's standpoints on veiling. </w:t>
      </w:r>
      <w:r w:rsidRPr="00A756B8">
        <w:rPr>
          <w:rStyle w:val="fqscharitalic"/>
          <w:i/>
          <w:iCs/>
          <w:color w:val="000000"/>
        </w:rPr>
        <w:t>Journal of Applied Communication Research</w:t>
      </w:r>
      <w:r w:rsidRPr="00A756B8">
        <w:rPr>
          <w:color w:val="000000"/>
        </w:rPr>
        <w:t>,</w:t>
      </w:r>
      <w:r w:rsidRPr="00A756B8">
        <w:rPr>
          <w:rStyle w:val="fqscharitalic"/>
          <w:i/>
          <w:iCs/>
          <w:color w:val="000000"/>
        </w:rPr>
        <w:t> 35</w:t>
      </w:r>
      <w:r w:rsidRPr="00A756B8">
        <w:rPr>
          <w:color w:val="000000"/>
        </w:rPr>
        <w:t>(3), 294-319.</w:t>
      </w:r>
    </w:p>
    <w:p w14:paraId="65BE0095"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Dykins</w:t>
      </w:r>
      <w:proofErr w:type="spellEnd"/>
      <w:r w:rsidRPr="00A756B8">
        <w:rPr>
          <w:color w:val="000000"/>
        </w:rPr>
        <w:t xml:space="preserve"> Callahan, Sara B. (2008). Academic outings. </w:t>
      </w:r>
      <w:r w:rsidRPr="00A756B8">
        <w:rPr>
          <w:rStyle w:val="fqscharitalic"/>
          <w:i/>
          <w:iCs/>
          <w:color w:val="000000"/>
        </w:rPr>
        <w:t>Symbolic Interaction</w:t>
      </w:r>
      <w:r w:rsidRPr="00A756B8">
        <w:rPr>
          <w:color w:val="000000"/>
        </w:rPr>
        <w:t>,</w:t>
      </w:r>
      <w:r w:rsidRPr="00A756B8">
        <w:rPr>
          <w:rStyle w:val="fqscharitalic"/>
          <w:i/>
          <w:iCs/>
          <w:color w:val="000000"/>
        </w:rPr>
        <w:t> 31</w:t>
      </w:r>
      <w:r w:rsidRPr="00A756B8">
        <w:rPr>
          <w:color w:val="000000"/>
        </w:rPr>
        <w:t>(4), 351-375.</w:t>
      </w:r>
    </w:p>
    <w:p w14:paraId="452930E4"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Ellis, Carolyn &amp; </w:t>
      </w:r>
      <w:proofErr w:type="spellStart"/>
      <w:r w:rsidRPr="00A756B8">
        <w:rPr>
          <w:color w:val="000000"/>
        </w:rPr>
        <w:t>Bochner</w:t>
      </w:r>
      <w:proofErr w:type="spellEnd"/>
      <w:r w:rsidRPr="00A756B8">
        <w:rPr>
          <w:color w:val="000000"/>
        </w:rPr>
        <w:t xml:space="preserve">, Arthur P. (2000). Autoethnography, personal narrative, reflexivity. In Norman K. Denzin &amp; </w:t>
      </w:r>
      <w:proofErr w:type="spellStart"/>
      <w:r w:rsidRPr="00A756B8">
        <w:rPr>
          <w:color w:val="000000"/>
        </w:rPr>
        <w:t>Yvonna</w:t>
      </w:r>
      <w:proofErr w:type="spellEnd"/>
      <w:r w:rsidRPr="00A756B8">
        <w:rPr>
          <w:color w:val="000000"/>
        </w:rPr>
        <w:t xml:space="preserve"> S. Lincoln (Eds.), </w:t>
      </w:r>
      <w:r w:rsidRPr="00A756B8">
        <w:rPr>
          <w:rStyle w:val="fqscharitalic"/>
          <w:i/>
          <w:iCs/>
          <w:color w:val="000000"/>
        </w:rPr>
        <w:t>Handbook of qualitative research</w:t>
      </w:r>
      <w:r w:rsidRPr="00A756B8">
        <w:rPr>
          <w:color w:val="000000"/>
        </w:rPr>
        <w:t> (2nd ed., pp.733-768). Thousand Oaks, CA: Sage.</w:t>
      </w:r>
    </w:p>
    <w:p w14:paraId="58456FB9"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Ellis, Carolyn &amp; </w:t>
      </w:r>
      <w:proofErr w:type="spellStart"/>
      <w:r w:rsidRPr="00A756B8">
        <w:rPr>
          <w:color w:val="000000"/>
        </w:rPr>
        <w:t>Bochner</w:t>
      </w:r>
      <w:proofErr w:type="spellEnd"/>
      <w:r w:rsidRPr="00A756B8">
        <w:rPr>
          <w:color w:val="000000"/>
        </w:rPr>
        <w:t>, Arthur P. (2006). Analyzing analytic autoethnography: An autopsy. </w:t>
      </w:r>
      <w:r w:rsidRPr="00A756B8">
        <w:rPr>
          <w:rStyle w:val="fqscharitalic"/>
          <w:i/>
          <w:iCs/>
          <w:color w:val="000000"/>
        </w:rPr>
        <w:t>Journal of Contemporary Ethnography</w:t>
      </w:r>
      <w:r w:rsidRPr="00A756B8">
        <w:rPr>
          <w:color w:val="000000"/>
        </w:rPr>
        <w:t>,</w:t>
      </w:r>
      <w:r w:rsidRPr="00A756B8">
        <w:rPr>
          <w:rStyle w:val="fqscharitalic"/>
          <w:i/>
          <w:iCs/>
          <w:color w:val="000000"/>
        </w:rPr>
        <w:t> 35</w:t>
      </w:r>
      <w:r w:rsidRPr="00A756B8">
        <w:rPr>
          <w:color w:val="000000"/>
        </w:rPr>
        <w:t>(4), 429-449.</w:t>
      </w:r>
    </w:p>
    <w:p w14:paraId="7ADBDE53"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Ellis, Carolyn &amp; Ellingson, Laura (2000). Qualitative methods. In Edgar </w:t>
      </w:r>
      <w:proofErr w:type="spellStart"/>
      <w:r w:rsidRPr="00A756B8">
        <w:rPr>
          <w:color w:val="000000"/>
        </w:rPr>
        <w:t>Borgatta</w:t>
      </w:r>
      <w:proofErr w:type="spellEnd"/>
      <w:r w:rsidRPr="00A756B8">
        <w:rPr>
          <w:color w:val="000000"/>
        </w:rPr>
        <w:t xml:space="preserve"> &amp; Rhonda Montgomery (Eds.), </w:t>
      </w:r>
      <w:r w:rsidRPr="00A756B8">
        <w:rPr>
          <w:rStyle w:val="fqscharitalic"/>
          <w:i/>
          <w:iCs/>
          <w:color w:val="000000"/>
        </w:rPr>
        <w:t>Encyclopedia of sociology</w:t>
      </w:r>
      <w:r w:rsidRPr="00A756B8">
        <w:rPr>
          <w:color w:val="000000"/>
        </w:rPr>
        <w:t> (pp.2287-2296). New York: Macmillan.</w:t>
      </w:r>
    </w:p>
    <w:p w14:paraId="5FED195A"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Ellis, Carolyn (1986). </w:t>
      </w:r>
      <w:r w:rsidRPr="00A756B8">
        <w:rPr>
          <w:rStyle w:val="fqscharitalic"/>
          <w:i/>
          <w:iCs/>
          <w:color w:val="000000"/>
        </w:rPr>
        <w:t>Fisher folk: Two communities on Chesapeake Bay</w:t>
      </w:r>
      <w:r w:rsidRPr="00A756B8">
        <w:rPr>
          <w:color w:val="000000"/>
        </w:rPr>
        <w:t>. Lexington: University Press of Kentucky.</w:t>
      </w:r>
    </w:p>
    <w:p w14:paraId="25F26DA2"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Ellis, Carolyn (1991). Sociological introspection and emotional experience. </w:t>
      </w:r>
      <w:r w:rsidRPr="00A756B8">
        <w:rPr>
          <w:rStyle w:val="fqscharitalic"/>
          <w:i/>
          <w:iCs/>
          <w:color w:val="000000"/>
        </w:rPr>
        <w:t>Symbolic Interaction</w:t>
      </w:r>
      <w:r w:rsidRPr="00A756B8">
        <w:rPr>
          <w:color w:val="000000"/>
        </w:rPr>
        <w:t>, </w:t>
      </w:r>
      <w:r w:rsidRPr="00A756B8">
        <w:rPr>
          <w:rStyle w:val="fqscharitalic"/>
          <w:i/>
          <w:iCs/>
          <w:color w:val="000000"/>
        </w:rPr>
        <w:t>14</w:t>
      </w:r>
      <w:r w:rsidRPr="00A756B8">
        <w:rPr>
          <w:color w:val="000000"/>
        </w:rPr>
        <w:t>(1), 23-50.</w:t>
      </w:r>
    </w:p>
    <w:p w14:paraId="6064B4D2"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Ellis, Carolyn (1993). "There are survivors": Telling a story of a sudden death. </w:t>
      </w:r>
      <w:r w:rsidRPr="00A756B8">
        <w:rPr>
          <w:rStyle w:val="fqscharitalic"/>
          <w:i/>
          <w:iCs/>
          <w:color w:val="000000"/>
        </w:rPr>
        <w:t>The Sociological Quarterly</w:t>
      </w:r>
      <w:r w:rsidRPr="00A756B8">
        <w:rPr>
          <w:color w:val="000000"/>
        </w:rPr>
        <w:t>,</w:t>
      </w:r>
      <w:r w:rsidRPr="00A756B8">
        <w:rPr>
          <w:rStyle w:val="fqscharitalic"/>
          <w:i/>
          <w:iCs/>
          <w:color w:val="000000"/>
        </w:rPr>
        <w:t> 34</w:t>
      </w:r>
      <w:r w:rsidRPr="00A756B8">
        <w:rPr>
          <w:color w:val="000000"/>
        </w:rPr>
        <w:t>(4), 711-730.</w:t>
      </w:r>
    </w:p>
    <w:p w14:paraId="1279B562"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Ellis, Carolyn (1995). </w:t>
      </w:r>
      <w:r w:rsidRPr="00A756B8">
        <w:rPr>
          <w:rStyle w:val="fqscharitalic"/>
          <w:i/>
          <w:iCs/>
          <w:color w:val="000000"/>
        </w:rPr>
        <w:t>Final negotiations: A story of love, loss, and chronic illness</w:t>
      </w:r>
      <w:r w:rsidRPr="00A756B8">
        <w:rPr>
          <w:color w:val="000000"/>
        </w:rPr>
        <w:t>. Philadelphia: Temple University Press.</w:t>
      </w:r>
    </w:p>
    <w:p w14:paraId="623022F4"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Ellis, Carolyn (2002a). Shattered lives: Making sense of September 11th and its aftermath. </w:t>
      </w:r>
      <w:r w:rsidRPr="00A756B8">
        <w:rPr>
          <w:rStyle w:val="fqscharitalic"/>
          <w:i/>
          <w:iCs/>
          <w:color w:val="000000"/>
        </w:rPr>
        <w:t>Journal of Contemporary Ethnography</w:t>
      </w:r>
      <w:r w:rsidRPr="00A756B8">
        <w:rPr>
          <w:color w:val="000000"/>
        </w:rPr>
        <w:t>,</w:t>
      </w:r>
      <w:r w:rsidRPr="00A756B8">
        <w:rPr>
          <w:rStyle w:val="fqscharitalic"/>
          <w:i/>
          <w:iCs/>
          <w:color w:val="000000"/>
        </w:rPr>
        <w:t> 31</w:t>
      </w:r>
      <w:r w:rsidRPr="00A756B8">
        <w:rPr>
          <w:color w:val="000000"/>
        </w:rPr>
        <w:t>(4), 375-410.</w:t>
      </w:r>
    </w:p>
    <w:p w14:paraId="6BB9C6E0"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lastRenderedPageBreak/>
        <w:t>Ellis, Carolyn (2002b). Being real: Moving inward toward social change. </w:t>
      </w:r>
      <w:r w:rsidRPr="00A756B8">
        <w:rPr>
          <w:rStyle w:val="fqscharitalic"/>
          <w:i/>
          <w:iCs/>
          <w:color w:val="000000"/>
        </w:rPr>
        <w:t>Qualitative Studies in Education</w:t>
      </w:r>
      <w:r w:rsidRPr="00A756B8">
        <w:rPr>
          <w:color w:val="000000"/>
        </w:rPr>
        <w:t>,</w:t>
      </w:r>
      <w:r w:rsidRPr="00A756B8">
        <w:rPr>
          <w:rStyle w:val="fqscharitalic"/>
          <w:i/>
          <w:iCs/>
          <w:color w:val="000000"/>
        </w:rPr>
        <w:t> 15</w:t>
      </w:r>
      <w:r w:rsidRPr="00A756B8">
        <w:rPr>
          <w:color w:val="000000"/>
        </w:rPr>
        <w:t>(4), 399-406.</w:t>
      </w:r>
    </w:p>
    <w:p w14:paraId="510F7037"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Ellis, Carolyn (2004). </w:t>
      </w:r>
      <w:r w:rsidRPr="00A756B8">
        <w:rPr>
          <w:rStyle w:val="fqscharitalic"/>
          <w:i/>
          <w:iCs/>
          <w:color w:val="000000"/>
        </w:rPr>
        <w:t>The ethnographic I: A methodological novel about autoethnography</w:t>
      </w:r>
      <w:r w:rsidRPr="00A756B8">
        <w:rPr>
          <w:color w:val="000000"/>
        </w:rPr>
        <w:t xml:space="preserve">. Walnut Creek, CA: </w:t>
      </w:r>
      <w:proofErr w:type="spellStart"/>
      <w:r w:rsidRPr="00A756B8">
        <w:rPr>
          <w:color w:val="000000"/>
        </w:rPr>
        <w:t>AltaMira</w:t>
      </w:r>
      <w:proofErr w:type="spellEnd"/>
      <w:r w:rsidRPr="00A756B8">
        <w:rPr>
          <w:color w:val="000000"/>
        </w:rPr>
        <w:t xml:space="preserve"> Press.</w:t>
      </w:r>
    </w:p>
    <w:p w14:paraId="5850DD19"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Ellis, Carolyn (2007). Telling secrets, revealing lives: Relational ethics in research with intimate others. </w:t>
      </w:r>
      <w:r w:rsidRPr="00A756B8">
        <w:rPr>
          <w:rStyle w:val="fqscharitalic"/>
          <w:i/>
          <w:iCs/>
          <w:color w:val="000000"/>
        </w:rPr>
        <w:t>Qualitative Inquiry</w:t>
      </w:r>
      <w:r w:rsidRPr="00A756B8">
        <w:rPr>
          <w:color w:val="000000"/>
        </w:rPr>
        <w:t>,</w:t>
      </w:r>
      <w:r w:rsidRPr="00A756B8">
        <w:rPr>
          <w:rStyle w:val="fqscharitalic"/>
          <w:i/>
          <w:iCs/>
          <w:color w:val="000000"/>
        </w:rPr>
        <w:t>13</w:t>
      </w:r>
      <w:r w:rsidRPr="00A756B8">
        <w:rPr>
          <w:color w:val="000000"/>
        </w:rPr>
        <w:t>(1), 3-29.</w:t>
      </w:r>
    </w:p>
    <w:p w14:paraId="313EF03C"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Ellis, Carolyn (2009). Telling tales on neighbors: Ethics in two voices. </w:t>
      </w:r>
      <w:r w:rsidRPr="00A756B8">
        <w:rPr>
          <w:rStyle w:val="fqscharitalic"/>
          <w:i/>
          <w:iCs/>
          <w:color w:val="000000"/>
        </w:rPr>
        <w:t>International Review of Qualitative Research</w:t>
      </w:r>
      <w:r w:rsidRPr="00A756B8">
        <w:rPr>
          <w:color w:val="000000"/>
        </w:rPr>
        <w:t>,</w:t>
      </w:r>
      <w:r w:rsidRPr="00A756B8">
        <w:rPr>
          <w:rStyle w:val="fqscharitalic"/>
          <w:i/>
          <w:iCs/>
          <w:color w:val="000000"/>
        </w:rPr>
        <w:t> 2</w:t>
      </w:r>
      <w:r w:rsidRPr="00A756B8">
        <w:rPr>
          <w:color w:val="000000"/>
        </w:rPr>
        <w:t>(1), 3-28.</w:t>
      </w:r>
    </w:p>
    <w:p w14:paraId="5692F3B4" w14:textId="77777777" w:rsidR="00306DAA" w:rsidRPr="00A756B8" w:rsidRDefault="00306DAA" w:rsidP="00306DAA">
      <w:pPr>
        <w:ind w:hanging="720"/>
        <w:rPr>
          <w:rFonts w:ascii="Times New Roman" w:eastAsia="Times New Roman" w:hAnsi="Times New Roman" w:cs="Times New Roman"/>
        </w:rPr>
      </w:pPr>
      <w:r w:rsidRPr="00A756B8">
        <w:rPr>
          <w:rFonts w:ascii="Times New Roman" w:eastAsia="Times New Roman" w:hAnsi="Times New Roman" w:cs="Times New Roman"/>
          <w:highlight w:val="white"/>
        </w:rPr>
        <w:t xml:space="preserve">Ellis, Carolyn; Adams, Tony E. &amp; </w:t>
      </w:r>
      <w:proofErr w:type="spellStart"/>
      <w:r w:rsidRPr="00A756B8">
        <w:rPr>
          <w:rFonts w:ascii="Times New Roman" w:eastAsia="Times New Roman" w:hAnsi="Times New Roman" w:cs="Times New Roman"/>
          <w:highlight w:val="white"/>
        </w:rPr>
        <w:t>Bochner</w:t>
      </w:r>
      <w:proofErr w:type="spellEnd"/>
      <w:r w:rsidRPr="00A756B8">
        <w:rPr>
          <w:rFonts w:ascii="Times New Roman" w:eastAsia="Times New Roman" w:hAnsi="Times New Roman" w:cs="Times New Roman"/>
          <w:highlight w:val="white"/>
        </w:rPr>
        <w:t xml:space="preserve">, Arthur P. (2010). Autoethnography: An Overview [40 paragraphs]. Forum Qualitative </w:t>
      </w:r>
      <w:proofErr w:type="spellStart"/>
      <w:r w:rsidRPr="00A756B8">
        <w:rPr>
          <w:rFonts w:ascii="Times New Roman" w:eastAsia="Times New Roman" w:hAnsi="Times New Roman" w:cs="Times New Roman"/>
          <w:highlight w:val="white"/>
        </w:rPr>
        <w:t>Sozialforschung</w:t>
      </w:r>
      <w:proofErr w:type="spellEnd"/>
      <w:r w:rsidRPr="00A756B8">
        <w:rPr>
          <w:rFonts w:ascii="Times New Roman" w:eastAsia="Times New Roman" w:hAnsi="Times New Roman" w:cs="Times New Roman"/>
          <w:highlight w:val="white"/>
        </w:rPr>
        <w:t xml:space="preserve"> / Forum: Qualitative Social Research, 12(1), Art. 10, </w:t>
      </w:r>
      <w:hyperlink r:id="rId31">
        <w:r w:rsidRPr="00A756B8">
          <w:rPr>
            <w:rFonts w:ascii="Times New Roman" w:eastAsia="Times New Roman" w:hAnsi="Times New Roman" w:cs="Times New Roman"/>
            <w:highlight w:val="white"/>
            <w:u w:val="single"/>
          </w:rPr>
          <w:t>http://nbn-resolving.de/urn:nbn:de:0114-fqs1101108</w:t>
        </w:r>
      </w:hyperlink>
      <w:r w:rsidRPr="00A756B8">
        <w:rPr>
          <w:rFonts w:ascii="Times New Roman" w:eastAsia="Times New Roman" w:hAnsi="Times New Roman" w:cs="Times New Roman"/>
        </w:rPr>
        <w:t xml:space="preserve"> )</w:t>
      </w:r>
    </w:p>
    <w:p w14:paraId="5E9C2C49"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Ellis, Carolyn; Kiesinger, Christine E. &amp; </w:t>
      </w:r>
      <w:proofErr w:type="spellStart"/>
      <w:r w:rsidRPr="00A756B8">
        <w:rPr>
          <w:color w:val="000000"/>
        </w:rPr>
        <w:t>Tillmann</w:t>
      </w:r>
      <w:proofErr w:type="spellEnd"/>
      <w:r w:rsidRPr="00A756B8">
        <w:rPr>
          <w:color w:val="000000"/>
        </w:rPr>
        <w:t>-Healy, Lisa M. (1997). Interactive interviewing: Talking about emotional experience. In Rosanna Hertz (Ed.), </w:t>
      </w:r>
      <w:r w:rsidRPr="00A756B8">
        <w:rPr>
          <w:rStyle w:val="fqscharitalic"/>
          <w:i/>
          <w:iCs/>
          <w:color w:val="000000"/>
        </w:rPr>
        <w:t>Reflexivity and voice</w:t>
      </w:r>
      <w:r w:rsidRPr="00A756B8">
        <w:rPr>
          <w:color w:val="000000"/>
        </w:rPr>
        <w:t> (pp.119-149). Thousand Oaks, CA: Sage.</w:t>
      </w:r>
    </w:p>
    <w:p w14:paraId="285BDBF1"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Etherington, Kim (2007). Ethical research in reflexive relationships. </w:t>
      </w:r>
      <w:r w:rsidRPr="00A756B8">
        <w:rPr>
          <w:rStyle w:val="fqscharitalic"/>
          <w:i/>
          <w:iCs/>
          <w:color w:val="000000"/>
        </w:rPr>
        <w:t>Qualitative Inquiry</w:t>
      </w:r>
      <w:r w:rsidRPr="00A756B8">
        <w:rPr>
          <w:color w:val="000000"/>
        </w:rPr>
        <w:t>,</w:t>
      </w:r>
      <w:r w:rsidRPr="00A756B8">
        <w:rPr>
          <w:rStyle w:val="fqscharitalic"/>
          <w:i/>
          <w:iCs/>
          <w:color w:val="000000"/>
        </w:rPr>
        <w:t> 13</w:t>
      </w:r>
      <w:r w:rsidRPr="00A756B8">
        <w:rPr>
          <w:color w:val="000000"/>
        </w:rPr>
        <w:t>(5), 599-616.</w:t>
      </w:r>
    </w:p>
    <w:p w14:paraId="671163D9"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Fine, Gary A. (1993). Ten lies of ethnography. </w:t>
      </w:r>
      <w:r w:rsidRPr="00A756B8">
        <w:rPr>
          <w:rStyle w:val="fqscharitalic"/>
          <w:i/>
          <w:iCs/>
          <w:color w:val="000000"/>
        </w:rPr>
        <w:t>Journal of Contemporary Ethnography</w:t>
      </w:r>
      <w:r w:rsidRPr="00A756B8">
        <w:rPr>
          <w:color w:val="000000"/>
        </w:rPr>
        <w:t>,</w:t>
      </w:r>
      <w:r w:rsidRPr="00A756B8">
        <w:rPr>
          <w:rStyle w:val="fqscharitalic"/>
          <w:i/>
          <w:iCs/>
          <w:color w:val="000000"/>
        </w:rPr>
        <w:t> 22</w:t>
      </w:r>
      <w:r w:rsidRPr="00A756B8">
        <w:rPr>
          <w:color w:val="000000"/>
        </w:rPr>
        <w:t>(3), 267-294.</w:t>
      </w:r>
    </w:p>
    <w:p w14:paraId="2130579F"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Fine, Gary A. (2003). Towards a people ethnography: Developing a theory from group life. </w:t>
      </w:r>
      <w:r w:rsidRPr="00A756B8">
        <w:rPr>
          <w:rStyle w:val="fqscharitalic"/>
          <w:i/>
          <w:iCs/>
          <w:color w:val="000000"/>
        </w:rPr>
        <w:t>Ethnography</w:t>
      </w:r>
      <w:r w:rsidRPr="00A756B8">
        <w:rPr>
          <w:color w:val="000000"/>
        </w:rPr>
        <w:t>,</w:t>
      </w:r>
      <w:r w:rsidRPr="00A756B8">
        <w:rPr>
          <w:rStyle w:val="fqscharitalic"/>
          <w:i/>
          <w:iCs/>
          <w:color w:val="000000"/>
        </w:rPr>
        <w:t> 4</w:t>
      </w:r>
      <w:r w:rsidRPr="00A756B8">
        <w:rPr>
          <w:color w:val="000000"/>
        </w:rPr>
        <w:t>(1), 41-60.</w:t>
      </w:r>
    </w:p>
    <w:p w14:paraId="569E35CB"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Fisher, Walter R. (1984). Narration as human communication paradigm: The case of public moral argument. </w:t>
      </w:r>
      <w:r w:rsidRPr="00A756B8">
        <w:rPr>
          <w:rStyle w:val="fqscharitalic"/>
          <w:i/>
          <w:iCs/>
          <w:color w:val="000000"/>
        </w:rPr>
        <w:t>Communication Monographs</w:t>
      </w:r>
      <w:r w:rsidRPr="00A756B8">
        <w:rPr>
          <w:color w:val="000000"/>
        </w:rPr>
        <w:t>, </w:t>
      </w:r>
      <w:r w:rsidRPr="00A756B8">
        <w:rPr>
          <w:rStyle w:val="fqscharitalic"/>
          <w:i/>
          <w:iCs/>
          <w:color w:val="000000"/>
        </w:rPr>
        <w:t>51</w:t>
      </w:r>
      <w:r w:rsidRPr="00A756B8">
        <w:rPr>
          <w:color w:val="000000"/>
        </w:rPr>
        <w:t>(1), 1-22.</w:t>
      </w:r>
    </w:p>
    <w:p w14:paraId="0E828E15" w14:textId="77777777" w:rsidR="00306DAA" w:rsidRPr="00A756B8" w:rsidRDefault="00605712" w:rsidP="00306DAA">
      <w:pPr>
        <w:pStyle w:val="fqsreferenceentry"/>
        <w:shd w:val="clear" w:color="auto" w:fill="FFFFFF"/>
        <w:spacing w:before="0" w:beforeAutospacing="0" w:after="0" w:afterAutospacing="0"/>
        <w:ind w:hanging="720"/>
        <w:rPr>
          <w:color w:val="000000"/>
        </w:rPr>
      </w:pPr>
      <w:hyperlink r:id="rId32" w:tgtFrame="_self" w:history="1">
        <w:r w:rsidR="00306DAA" w:rsidRPr="00A756B8">
          <w:rPr>
            <w:rStyle w:val="Hyperlink"/>
            <w:color w:val="996600"/>
          </w:rPr>
          <w:t>Flick, Uwe</w:t>
        </w:r>
      </w:hyperlink>
      <w:r w:rsidR="00306DAA" w:rsidRPr="00A756B8">
        <w:rPr>
          <w:color w:val="000000"/>
        </w:rPr>
        <w:t xml:space="preserve"> (2010). </w:t>
      </w:r>
      <w:proofErr w:type="spellStart"/>
      <w:r w:rsidR="00306DAA" w:rsidRPr="00A756B8">
        <w:rPr>
          <w:color w:val="000000"/>
        </w:rPr>
        <w:t>Gütekriterien</w:t>
      </w:r>
      <w:proofErr w:type="spellEnd"/>
      <w:r w:rsidR="00306DAA" w:rsidRPr="00A756B8">
        <w:rPr>
          <w:color w:val="000000"/>
        </w:rPr>
        <w:t xml:space="preserve"> </w:t>
      </w:r>
      <w:proofErr w:type="spellStart"/>
      <w:r w:rsidR="00306DAA" w:rsidRPr="00A756B8">
        <w:rPr>
          <w:color w:val="000000"/>
        </w:rPr>
        <w:t>qualitativer</w:t>
      </w:r>
      <w:proofErr w:type="spellEnd"/>
      <w:r w:rsidR="00306DAA" w:rsidRPr="00A756B8">
        <w:rPr>
          <w:color w:val="000000"/>
        </w:rPr>
        <w:t xml:space="preserve"> </w:t>
      </w:r>
      <w:proofErr w:type="spellStart"/>
      <w:r w:rsidR="00306DAA" w:rsidRPr="00A756B8">
        <w:rPr>
          <w:color w:val="000000"/>
        </w:rPr>
        <w:t>Forschung</w:t>
      </w:r>
      <w:proofErr w:type="spellEnd"/>
      <w:r w:rsidR="00306DAA" w:rsidRPr="00A756B8">
        <w:rPr>
          <w:color w:val="000000"/>
        </w:rPr>
        <w:t>. In </w:t>
      </w:r>
      <w:hyperlink r:id="rId33" w:tgtFrame="_self" w:history="1">
        <w:r w:rsidR="00306DAA" w:rsidRPr="00A756B8">
          <w:rPr>
            <w:rStyle w:val="Hyperlink"/>
            <w:color w:val="996600"/>
          </w:rPr>
          <w:t xml:space="preserve">Günter </w:t>
        </w:r>
        <w:proofErr w:type="spellStart"/>
        <w:r w:rsidR="00306DAA" w:rsidRPr="00A756B8">
          <w:rPr>
            <w:rStyle w:val="Hyperlink"/>
            <w:color w:val="996600"/>
          </w:rPr>
          <w:t>Mey</w:t>
        </w:r>
        <w:proofErr w:type="spellEnd"/>
      </w:hyperlink>
      <w:r w:rsidR="00306DAA" w:rsidRPr="00A756B8">
        <w:rPr>
          <w:color w:val="000000"/>
        </w:rPr>
        <w:t> &amp; </w:t>
      </w:r>
      <w:hyperlink r:id="rId34" w:tgtFrame="_self" w:history="1">
        <w:r w:rsidR="00306DAA" w:rsidRPr="00A756B8">
          <w:rPr>
            <w:rStyle w:val="Hyperlink"/>
            <w:color w:val="996600"/>
          </w:rPr>
          <w:t xml:space="preserve">Katja </w:t>
        </w:r>
        <w:proofErr w:type="spellStart"/>
        <w:r w:rsidR="00306DAA" w:rsidRPr="00A756B8">
          <w:rPr>
            <w:rStyle w:val="Hyperlink"/>
            <w:color w:val="996600"/>
          </w:rPr>
          <w:t>Mruck</w:t>
        </w:r>
        <w:proofErr w:type="spellEnd"/>
      </w:hyperlink>
      <w:r w:rsidR="00306DAA" w:rsidRPr="00A756B8">
        <w:rPr>
          <w:color w:val="000000"/>
        </w:rPr>
        <w:t> (Eds.), </w:t>
      </w:r>
      <w:proofErr w:type="spellStart"/>
      <w:r w:rsidR="00306DAA" w:rsidRPr="00A756B8">
        <w:rPr>
          <w:rStyle w:val="fqscharitalic"/>
          <w:i/>
          <w:iCs/>
          <w:color w:val="000000"/>
        </w:rPr>
        <w:t>Handbuch</w:t>
      </w:r>
      <w:proofErr w:type="spellEnd"/>
      <w:r w:rsidR="00306DAA" w:rsidRPr="00A756B8">
        <w:rPr>
          <w:rStyle w:val="fqscharitalic"/>
          <w:i/>
          <w:iCs/>
          <w:color w:val="000000"/>
        </w:rPr>
        <w:t xml:space="preserve"> Qualitative </w:t>
      </w:r>
      <w:proofErr w:type="spellStart"/>
      <w:r w:rsidR="00306DAA" w:rsidRPr="00A756B8">
        <w:rPr>
          <w:rStyle w:val="fqscharitalic"/>
          <w:i/>
          <w:iCs/>
          <w:color w:val="000000"/>
        </w:rPr>
        <w:t>Forschung</w:t>
      </w:r>
      <w:proofErr w:type="spellEnd"/>
      <w:r w:rsidR="00306DAA" w:rsidRPr="00A756B8">
        <w:rPr>
          <w:rStyle w:val="fqscharitalic"/>
          <w:i/>
          <w:iCs/>
          <w:color w:val="000000"/>
        </w:rPr>
        <w:t xml:space="preserve"> in der </w:t>
      </w:r>
      <w:proofErr w:type="spellStart"/>
      <w:r w:rsidR="00306DAA" w:rsidRPr="00A756B8">
        <w:rPr>
          <w:rStyle w:val="fqscharitalic"/>
          <w:i/>
          <w:iCs/>
          <w:color w:val="000000"/>
        </w:rPr>
        <w:t>Psychologie</w:t>
      </w:r>
      <w:proofErr w:type="spellEnd"/>
      <w:r w:rsidR="00306DAA" w:rsidRPr="00A756B8">
        <w:rPr>
          <w:color w:val="000000"/>
        </w:rPr>
        <w:t> (pp.395-470). Wiesbaden: VS Verlag/Springer.</w:t>
      </w:r>
    </w:p>
    <w:p w14:paraId="41916D3B"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Foster, Elissa (2006). </w:t>
      </w:r>
      <w:r w:rsidRPr="00A756B8">
        <w:rPr>
          <w:rStyle w:val="fqscharitalic"/>
          <w:i/>
          <w:iCs/>
          <w:color w:val="000000"/>
        </w:rPr>
        <w:t>Communicating at the end of life</w:t>
      </w:r>
      <w:r w:rsidRPr="00A756B8">
        <w:rPr>
          <w:color w:val="000000"/>
        </w:rPr>
        <w:t>. Mahwah, NJ: Lawrence Erlbaum.</w:t>
      </w:r>
    </w:p>
    <w:p w14:paraId="031853B8"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Foster, Elissa (2008). Commitment, communication, and contending with heteronormativity: An invitation to greater reflexivity in interpersonal research. </w:t>
      </w:r>
      <w:r w:rsidRPr="00A756B8">
        <w:rPr>
          <w:rStyle w:val="fqscharitalic"/>
          <w:i/>
          <w:iCs/>
          <w:color w:val="000000"/>
        </w:rPr>
        <w:t>Southern Communication Journal</w:t>
      </w:r>
      <w:r w:rsidRPr="00A756B8">
        <w:rPr>
          <w:color w:val="000000"/>
        </w:rPr>
        <w:t>,</w:t>
      </w:r>
      <w:r w:rsidRPr="00A756B8">
        <w:rPr>
          <w:rStyle w:val="fqscharitalic"/>
          <w:i/>
          <w:iCs/>
          <w:color w:val="000000"/>
        </w:rPr>
        <w:t> 73</w:t>
      </w:r>
      <w:r w:rsidRPr="00A756B8">
        <w:rPr>
          <w:color w:val="000000"/>
        </w:rPr>
        <w:t>(1), 84-101.</w:t>
      </w:r>
    </w:p>
    <w:p w14:paraId="575060CE"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Frank, Arthur W. (1995). </w:t>
      </w:r>
      <w:r w:rsidRPr="00A756B8">
        <w:rPr>
          <w:rStyle w:val="fqscharitalic"/>
          <w:i/>
          <w:iCs/>
          <w:color w:val="000000"/>
        </w:rPr>
        <w:t>The wounded storyteller</w:t>
      </w:r>
      <w:r w:rsidRPr="00A756B8">
        <w:rPr>
          <w:color w:val="000000"/>
        </w:rPr>
        <w:t>. Chicago: University of Chicago Press.</w:t>
      </w:r>
    </w:p>
    <w:p w14:paraId="419EAA10"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Freeman, Mark (2004). Data are everywhere: Narrative criticism in the literature of experience. In Colette </w:t>
      </w:r>
      <w:proofErr w:type="spellStart"/>
      <w:r w:rsidRPr="00A756B8">
        <w:rPr>
          <w:color w:val="000000"/>
        </w:rPr>
        <w:t>Daiute</w:t>
      </w:r>
      <w:proofErr w:type="spellEnd"/>
      <w:r w:rsidRPr="00A756B8">
        <w:rPr>
          <w:color w:val="000000"/>
        </w:rPr>
        <w:t xml:space="preserve"> &amp; Cynthia Lightfoot (Eds.), </w:t>
      </w:r>
      <w:r w:rsidRPr="00A756B8">
        <w:rPr>
          <w:rStyle w:val="fqscharitalic"/>
          <w:i/>
          <w:iCs/>
          <w:color w:val="000000"/>
        </w:rPr>
        <w:t>Narrative analysis: Studying the development of individuals in society</w:t>
      </w:r>
      <w:r w:rsidRPr="00A756B8">
        <w:rPr>
          <w:color w:val="000000"/>
        </w:rPr>
        <w:t> (pp.63-81). Thousand Oaks, CA: Sage.</w:t>
      </w:r>
    </w:p>
    <w:p w14:paraId="7EEEEF84"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Friedan, Betty (1964). </w:t>
      </w:r>
      <w:r w:rsidRPr="00A756B8">
        <w:rPr>
          <w:rStyle w:val="fqscharitalic"/>
          <w:i/>
          <w:iCs/>
          <w:color w:val="000000"/>
        </w:rPr>
        <w:t>The feminine mystique</w:t>
      </w:r>
      <w:r w:rsidRPr="00A756B8">
        <w:rPr>
          <w:color w:val="000000"/>
        </w:rPr>
        <w:t>. New York: Dell.</w:t>
      </w:r>
    </w:p>
    <w:p w14:paraId="2F6794A3"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Gans</w:t>
      </w:r>
      <w:proofErr w:type="spellEnd"/>
      <w:r w:rsidRPr="00A756B8">
        <w:rPr>
          <w:color w:val="000000"/>
        </w:rPr>
        <w:t>, Herbert J. (1999). Participant observation: In the era of "ethnography." </w:t>
      </w:r>
      <w:r w:rsidRPr="00A756B8">
        <w:rPr>
          <w:rStyle w:val="fqscharitalic"/>
          <w:i/>
          <w:iCs/>
          <w:color w:val="000000"/>
        </w:rPr>
        <w:t>Journal of Contemporary Ethnography</w:t>
      </w:r>
      <w:r w:rsidRPr="00A756B8">
        <w:rPr>
          <w:color w:val="000000"/>
        </w:rPr>
        <w:t>,</w:t>
      </w:r>
      <w:r w:rsidRPr="00A756B8">
        <w:rPr>
          <w:rStyle w:val="fqscharitalic"/>
          <w:i/>
          <w:iCs/>
          <w:color w:val="000000"/>
        </w:rPr>
        <w:t> 28</w:t>
      </w:r>
      <w:r w:rsidRPr="00A756B8">
        <w:rPr>
          <w:color w:val="000000"/>
        </w:rPr>
        <w:t>(5), 540-548.</w:t>
      </w:r>
    </w:p>
    <w:p w14:paraId="33BE0A75"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Geertz, Clifford (1973). </w:t>
      </w:r>
      <w:r w:rsidRPr="00A756B8">
        <w:rPr>
          <w:rStyle w:val="fqscharitalic"/>
          <w:i/>
          <w:iCs/>
          <w:color w:val="000000"/>
        </w:rPr>
        <w:t>The interpretation of cultures</w:t>
      </w:r>
      <w:r w:rsidRPr="00A756B8">
        <w:rPr>
          <w:color w:val="000000"/>
        </w:rPr>
        <w:t>. New York: Basic Books.</w:t>
      </w:r>
    </w:p>
    <w:p w14:paraId="1CA3EACB"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Gerber, David A. (1996). The "careers" of people exhibited in freak shows: The problem of volition and valorization. In Rosemarie G. Thomson (Ed.), </w:t>
      </w:r>
      <w:r w:rsidRPr="00A756B8">
        <w:rPr>
          <w:rStyle w:val="fqscharitalic"/>
          <w:i/>
          <w:iCs/>
          <w:color w:val="000000"/>
        </w:rPr>
        <w:t>Freakery: Cultural spectacles of the extraordinary body</w:t>
      </w:r>
      <w:r w:rsidRPr="00A756B8">
        <w:rPr>
          <w:color w:val="000000"/>
        </w:rPr>
        <w:t> (pp.38-54). New York: New York University Press.</w:t>
      </w:r>
    </w:p>
    <w:p w14:paraId="577341BD" w14:textId="77777777" w:rsidR="00306DAA" w:rsidRPr="00A756B8" w:rsidRDefault="00605712" w:rsidP="00306DAA">
      <w:pPr>
        <w:pStyle w:val="fqsreferenceentry"/>
        <w:shd w:val="clear" w:color="auto" w:fill="FFFFFF"/>
        <w:spacing w:before="0" w:beforeAutospacing="0" w:after="0" w:afterAutospacing="0"/>
        <w:ind w:hanging="720"/>
        <w:rPr>
          <w:color w:val="000000"/>
        </w:rPr>
      </w:pPr>
      <w:hyperlink r:id="rId35" w:tgtFrame="_self" w:history="1">
        <w:r w:rsidR="00306DAA" w:rsidRPr="00A756B8">
          <w:rPr>
            <w:rStyle w:val="Hyperlink"/>
            <w:color w:val="996600"/>
          </w:rPr>
          <w:t>Gergen, Mary M.</w:t>
        </w:r>
      </w:hyperlink>
      <w:r w:rsidR="00306DAA" w:rsidRPr="00A756B8">
        <w:rPr>
          <w:color w:val="000000"/>
        </w:rPr>
        <w:t> &amp; </w:t>
      </w:r>
      <w:hyperlink r:id="rId36" w:tgtFrame="_self" w:history="1">
        <w:r w:rsidR="00306DAA" w:rsidRPr="00A756B8">
          <w:rPr>
            <w:rStyle w:val="Hyperlink"/>
            <w:color w:val="996600"/>
          </w:rPr>
          <w:t>Gergen, Kenneth J.</w:t>
        </w:r>
      </w:hyperlink>
      <w:r w:rsidR="00306DAA" w:rsidRPr="00A756B8">
        <w:rPr>
          <w:color w:val="000000"/>
        </w:rPr>
        <w:t> ( 2010). Performative social science.</w:t>
      </w:r>
      <w:r w:rsidR="00306DAA" w:rsidRPr="00A756B8">
        <w:rPr>
          <w:rStyle w:val="fqscharitalic"/>
          <w:i/>
          <w:iCs/>
          <w:color w:val="000000"/>
        </w:rPr>
        <w:t xml:space="preserve"> Forum Qualitative </w:t>
      </w:r>
      <w:proofErr w:type="spellStart"/>
      <w:r w:rsidR="00306DAA" w:rsidRPr="00A756B8">
        <w:rPr>
          <w:rStyle w:val="fqscharitalic"/>
          <w:i/>
          <w:iCs/>
          <w:color w:val="000000"/>
        </w:rPr>
        <w:t>Sozialforschung</w:t>
      </w:r>
      <w:proofErr w:type="spellEnd"/>
      <w:r w:rsidR="00306DAA" w:rsidRPr="00A756B8">
        <w:rPr>
          <w:rStyle w:val="fqscharitalic"/>
          <w:i/>
          <w:iCs/>
          <w:color w:val="000000"/>
        </w:rPr>
        <w:t xml:space="preserve"> / Forum: Qualitative Social Research</w:t>
      </w:r>
      <w:r w:rsidR="00306DAA" w:rsidRPr="00A756B8">
        <w:rPr>
          <w:color w:val="000000"/>
        </w:rPr>
        <w:t>, </w:t>
      </w:r>
      <w:r w:rsidR="00306DAA" w:rsidRPr="00A756B8">
        <w:rPr>
          <w:rStyle w:val="fqscharitalic"/>
          <w:i/>
          <w:iCs/>
          <w:color w:val="000000"/>
        </w:rPr>
        <w:t>12</w:t>
      </w:r>
      <w:r w:rsidR="00306DAA" w:rsidRPr="00A756B8">
        <w:rPr>
          <w:color w:val="000000"/>
        </w:rPr>
        <w:t>(1), Art. 11, </w:t>
      </w:r>
      <w:hyperlink r:id="rId37" w:tgtFrame="_blank" w:history="1">
        <w:r w:rsidR="00306DAA" w:rsidRPr="00A756B8">
          <w:rPr>
            <w:rStyle w:val="Hyperlink"/>
            <w:color w:val="996600"/>
          </w:rPr>
          <w:t>http://nbn-resolving.de/urn:nbn:de:0114-fqs1101119</w:t>
        </w:r>
      </w:hyperlink>
      <w:r w:rsidR="00306DAA" w:rsidRPr="00A756B8">
        <w:rPr>
          <w:color w:val="000000"/>
        </w:rPr>
        <w:t>.</w:t>
      </w:r>
    </w:p>
    <w:p w14:paraId="7BADE140"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Gingrich-Philbrook, Craig (2005). Autoethnography's family values: Easy access to compulsory experiences. </w:t>
      </w:r>
      <w:r w:rsidRPr="00A756B8">
        <w:rPr>
          <w:rStyle w:val="fqscharitalic"/>
          <w:i/>
          <w:iCs/>
          <w:color w:val="000000"/>
        </w:rPr>
        <w:t>Text and Performance Quarterly</w:t>
      </w:r>
      <w:r w:rsidRPr="00A756B8">
        <w:rPr>
          <w:color w:val="000000"/>
        </w:rPr>
        <w:t>,</w:t>
      </w:r>
      <w:r w:rsidRPr="00A756B8">
        <w:rPr>
          <w:rStyle w:val="fqscharitalic"/>
          <w:i/>
          <w:iCs/>
          <w:color w:val="000000"/>
        </w:rPr>
        <w:t> 25</w:t>
      </w:r>
      <w:r w:rsidRPr="00A756B8">
        <w:rPr>
          <w:color w:val="000000"/>
        </w:rPr>
        <w:t>(4), 297-314.</w:t>
      </w:r>
    </w:p>
    <w:p w14:paraId="58A73C2D"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Glave</w:t>
      </w:r>
      <w:proofErr w:type="spellEnd"/>
      <w:r w:rsidRPr="00A756B8">
        <w:rPr>
          <w:color w:val="000000"/>
        </w:rPr>
        <w:t>, Thomas (2005). </w:t>
      </w:r>
      <w:r w:rsidRPr="00A756B8">
        <w:rPr>
          <w:rStyle w:val="fqscharitalic"/>
          <w:i/>
          <w:iCs/>
          <w:color w:val="000000"/>
        </w:rPr>
        <w:t>Words to our now: Imagination and dissent</w:t>
      </w:r>
      <w:r w:rsidRPr="00A756B8">
        <w:rPr>
          <w:color w:val="000000"/>
        </w:rPr>
        <w:t>. Minneapolis: University of Minneapolis Press.</w:t>
      </w:r>
    </w:p>
    <w:p w14:paraId="22BC61CB"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Goodall, Bud H.L. (2001). </w:t>
      </w:r>
      <w:r w:rsidRPr="00A756B8">
        <w:rPr>
          <w:rStyle w:val="fqscharitalic"/>
          <w:i/>
          <w:iCs/>
          <w:color w:val="000000"/>
        </w:rPr>
        <w:t>Writing the new ethnography</w:t>
      </w:r>
      <w:r w:rsidRPr="00A756B8">
        <w:rPr>
          <w:color w:val="000000"/>
        </w:rPr>
        <w:t xml:space="preserve">. Walnut Creek, CA: </w:t>
      </w:r>
      <w:proofErr w:type="spellStart"/>
      <w:r w:rsidRPr="00A756B8">
        <w:rPr>
          <w:color w:val="000000"/>
        </w:rPr>
        <w:t>AltaMira</w:t>
      </w:r>
      <w:proofErr w:type="spellEnd"/>
      <w:r w:rsidRPr="00A756B8">
        <w:rPr>
          <w:color w:val="000000"/>
        </w:rPr>
        <w:t>.</w:t>
      </w:r>
    </w:p>
    <w:p w14:paraId="30005B40"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lastRenderedPageBreak/>
        <w:t>Goodall, Bud H.L. (2006). </w:t>
      </w:r>
      <w:r w:rsidRPr="00A756B8">
        <w:rPr>
          <w:rStyle w:val="fqscharitalic"/>
          <w:i/>
          <w:iCs/>
          <w:color w:val="000000"/>
        </w:rPr>
        <w:t>A need to know: The clandestine history of a CIA family</w:t>
      </w:r>
      <w:r w:rsidRPr="00A756B8">
        <w:rPr>
          <w:color w:val="000000"/>
        </w:rPr>
        <w:t>. Walnut Creek, CA: Left Coast Press.</w:t>
      </w:r>
    </w:p>
    <w:p w14:paraId="18B96A10"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Greenspan, Henry (1998). </w:t>
      </w:r>
      <w:r w:rsidRPr="00A756B8">
        <w:rPr>
          <w:rStyle w:val="fqscharitalic"/>
          <w:i/>
          <w:iCs/>
          <w:color w:val="000000"/>
        </w:rPr>
        <w:t>On listening to Holocaust survivors: Recounting and life history</w:t>
      </w:r>
      <w:r w:rsidRPr="00A756B8">
        <w:rPr>
          <w:color w:val="000000"/>
        </w:rPr>
        <w:t>. Westport, CT: Praeger.</w:t>
      </w:r>
    </w:p>
    <w:p w14:paraId="1C26AA0D"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Herrmann, Andrew F. (2005). My father's ghost: Interrogating family photos. </w:t>
      </w:r>
      <w:r w:rsidRPr="00A756B8">
        <w:rPr>
          <w:rStyle w:val="fqscharitalic"/>
          <w:i/>
          <w:iCs/>
          <w:color w:val="000000"/>
        </w:rPr>
        <w:t>Journal of loss and trauma</w:t>
      </w:r>
      <w:r w:rsidRPr="00A756B8">
        <w:rPr>
          <w:color w:val="000000"/>
        </w:rPr>
        <w:t>,</w:t>
      </w:r>
      <w:r w:rsidRPr="00A756B8">
        <w:rPr>
          <w:rStyle w:val="fqscharitalic"/>
          <w:i/>
          <w:iCs/>
          <w:color w:val="000000"/>
        </w:rPr>
        <w:t> 10</w:t>
      </w:r>
      <w:r w:rsidRPr="00A756B8">
        <w:rPr>
          <w:color w:val="000000"/>
        </w:rPr>
        <w:t>(4), 337-346.</w:t>
      </w:r>
    </w:p>
    <w:p w14:paraId="12567E15"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Holman Jones, Stacy (2005). Autoethnography: Making the personal political. In Norman K. Denzin &amp; </w:t>
      </w:r>
      <w:proofErr w:type="spellStart"/>
      <w:r w:rsidRPr="00A756B8">
        <w:rPr>
          <w:color w:val="000000"/>
        </w:rPr>
        <w:t>Yvonna</w:t>
      </w:r>
      <w:proofErr w:type="spellEnd"/>
      <w:r w:rsidRPr="00A756B8">
        <w:rPr>
          <w:color w:val="000000"/>
        </w:rPr>
        <w:t xml:space="preserve"> S. Lincoln (Eds.), </w:t>
      </w:r>
      <w:r w:rsidRPr="00A756B8">
        <w:rPr>
          <w:rStyle w:val="fqscharitalic"/>
          <w:i/>
          <w:iCs/>
          <w:color w:val="000000"/>
        </w:rPr>
        <w:t>Handbook of qualitative research</w:t>
      </w:r>
      <w:r w:rsidRPr="00A756B8">
        <w:rPr>
          <w:color w:val="000000"/>
        </w:rPr>
        <w:t> (pp.763-791). Thousand Oaks, CA: Sage.</w:t>
      </w:r>
    </w:p>
    <w:p w14:paraId="1B2F9870"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hooks, bell (1994). </w:t>
      </w:r>
      <w:r w:rsidRPr="00A756B8">
        <w:rPr>
          <w:rStyle w:val="fqscharitalic"/>
          <w:i/>
          <w:iCs/>
          <w:color w:val="000000"/>
        </w:rPr>
        <w:t>Teaching to transgress: Education as the practice of freedom</w:t>
      </w:r>
      <w:r w:rsidRPr="00A756B8">
        <w:rPr>
          <w:color w:val="000000"/>
        </w:rPr>
        <w:t>. New York: Routledge.</w:t>
      </w:r>
    </w:p>
    <w:p w14:paraId="0BF7CBFE"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hooks, bell (2000). </w:t>
      </w:r>
      <w:r w:rsidRPr="00A756B8">
        <w:rPr>
          <w:rStyle w:val="fqscharitalic"/>
          <w:i/>
          <w:iCs/>
          <w:color w:val="000000"/>
        </w:rPr>
        <w:t>Where we stand: Class matters</w:t>
      </w:r>
      <w:r w:rsidRPr="00A756B8">
        <w:rPr>
          <w:color w:val="000000"/>
        </w:rPr>
        <w:t>. New York: Routledge.</w:t>
      </w:r>
    </w:p>
    <w:p w14:paraId="3C5997CE" w14:textId="77777777" w:rsidR="00306DAA" w:rsidRPr="00A756B8" w:rsidRDefault="00605712" w:rsidP="00306DAA">
      <w:pPr>
        <w:ind w:hanging="720"/>
        <w:rPr>
          <w:rFonts w:ascii="Times New Roman" w:eastAsia="Times New Roman" w:hAnsi="Times New Roman" w:cs="Times New Roman"/>
          <w:shd w:val="clear" w:color="auto" w:fill="F6F6F6"/>
        </w:rPr>
      </w:pPr>
      <w:hyperlink r:id="rId38" w:history="1">
        <w:r w:rsidR="00306DAA" w:rsidRPr="00A756B8">
          <w:rPr>
            <w:rStyle w:val="Hyperlink"/>
            <w:rFonts w:ascii="Times New Roman" w:eastAsia="Times New Roman" w:hAnsi="Times New Roman" w:cs="Times New Roman"/>
            <w:shd w:val="clear" w:color="auto" w:fill="F6F6F6"/>
          </w:rPr>
          <w:t>https://milnepublishing.geneseo.edu/teaching-autoethnography/chapter/5-memorycharacter-essays/</w:t>
        </w:r>
      </w:hyperlink>
    </w:p>
    <w:p w14:paraId="54218D15" w14:textId="77777777" w:rsidR="00306DAA" w:rsidRPr="00A756B8" w:rsidRDefault="00605712" w:rsidP="00306DAA">
      <w:pPr>
        <w:ind w:hanging="720"/>
        <w:rPr>
          <w:rFonts w:ascii="Times New Roman" w:eastAsia="Times New Roman" w:hAnsi="Times New Roman" w:cs="Times New Roman"/>
          <w:shd w:val="clear" w:color="auto" w:fill="F6F6F6"/>
        </w:rPr>
      </w:pPr>
      <w:hyperlink r:id="rId39" w:history="1">
        <w:r w:rsidR="00306DAA" w:rsidRPr="00A756B8">
          <w:rPr>
            <w:rStyle w:val="Hyperlink"/>
            <w:rFonts w:ascii="Times New Roman" w:eastAsia="Times New Roman" w:hAnsi="Times New Roman" w:cs="Times New Roman"/>
            <w:shd w:val="clear" w:color="auto" w:fill="F6F6F6"/>
          </w:rPr>
          <w:t>https://milnepublishing.geneseo.edu/teaching-autoethnography/chapter/5-memorycharacter-essays/</w:t>
        </w:r>
      </w:hyperlink>
    </w:p>
    <w:p w14:paraId="262E30E7"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Jago</w:t>
      </w:r>
      <w:proofErr w:type="spellEnd"/>
      <w:r w:rsidRPr="00A756B8">
        <w:rPr>
          <w:color w:val="000000"/>
        </w:rPr>
        <w:t>, Barbara J. (2002). Chronicling an academic depression. </w:t>
      </w:r>
      <w:r w:rsidRPr="00A756B8">
        <w:rPr>
          <w:rStyle w:val="fqscharitalic"/>
          <w:i/>
          <w:iCs/>
          <w:color w:val="000000"/>
        </w:rPr>
        <w:t>Journal of Contemporary Ethnography</w:t>
      </w:r>
      <w:r w:rsidRPr="00A756B8">
        <w:rPr>
          <w:color w:val="000000"/>
        </w:rPr>
        <w:t>,</w:t>
      </w:r>
      <w:r w:rsidRPr="00A756B8">
        <w:rPr>
          <w:rStyle w:val="fqscharitalic"/>
          <w:i/>
          <w:iCs/>
          <w:color w:val="000000"/>
        </w:rPr>
        <w:t> 31</w:t>
      </w:r>
      <w:r w:rsidRPr="00A756B8">
        <w:rPr>
          <w:color w:val="000000"/>
        </w:rPr>
        <w:t>(6), 729-757.</w:t>
      </w:r>
    </w:p>
    <w:p w14:paraId="5516D254"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Jorgenson, Jane (2002). Engineering selves: Negotiating gender and identity in technical work. </w:t>
      </w:r>
      <w:r w:rsidRPr="00A756B8">
        <w:rPr>
          <w:rStyle w:val="fqscharitalic"/>
          <w:i/>
          <w:iCs/>
          <w:color w:val="000000"/>
        </w:rPr>
        <w:t>Management Communication Quarterly</w:t>
      </w:r>
      <w:r w:rsidRPr="00A756B8">
        <w:rPr>
          <w:color w:val="000000"/>
        </w:rPr>
        <w:t>,</w:t>
      </w:r>
      <w:r w:rsidRPr="00A756B8">
        <w:rPr>
          <w:rStyle w:val="fqscharitalic"/>
          <w:i/>
          <w:iCs/>
          <w:color w:val="000000"/>
        </w:rPr>
        <w:t> 15</w:t>
      </w:r>
      <w:r w:rsidRPr="00A756B8">
        <w:rPr>
          <w:color w:val="000000"/>
        </w:rPr>
        <w:t>(3), 350-380.</w:t>
      </w:r>
    </w:p>
    <w:p w14:paraId="678FB422"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Kardorff</w:t>
      </w:r>
      <w:proofErr w:type="spellEnd"/>
      <w:r w:rsidRPr="00A756B8">
        <w:rPr>
          <w:color w:val="000000"/>
        </w:rPr>
        <w:t xml:space="preserve">, Ernst von &amp; </w:t>
      </w:r>
      <w:proofErr w:type="spellStart"/>
      <w:r w:rsidRPr="00A756B8">
        <w:rPr>
          <w:color w:val="000000"/>
        </w:rPr>
        <w:t>Schönberger</w:t>
      </w:r>
      <w:proofErr w:type="spellEnd"/>
      <w:r w:rsidRPr="00A756B8">
        <w:rPr>
          <w:color w:val="000000"/>
        </w:rPr>
        <w:t xml:space="preserve">, Christine (2010). </w:t>
      </w:r>
      <w:proofErr w:type="spellStart"/>
      <w:r w:rsidRPr="00A756B8">
        <w:rPr>
          <w:color w:val="000000"/>
        </w:rPr>
        <w:t>Evaluationsforschung</w:t>
      </w:r>
      <w:proofErr w:type="spellEnd"/>
      <w:r w:rsidRPr="00A756B8">
        <w:rPr>
          <w:color w:val="000000"/>
        </w:rPr>
        <w:t xml:space="preserve">. In Günter </w:t>
      </w:r>
      <w:proofErr w:type="spellStart"/>
      <w:r w:rsidRPr="00A756B8">
        <w:rPr>
          <w:color w:val="000000"/>
        </w:rPr>
        <w:t>Mey</w:t>
      </w:r>
      <w:proofErr w:type="spellEnd"/>
      <w:r w:rsidRPr="00A756B8">
        <w:rPr>
          <w:color w:val="000000"/>
        </w:rPr>
        <w:t xml:space="preserve"> &amp; Katja </w:t>
      </w:r>
      <w:proofErr w:type="spellStart"/>
      <w:r w:rsidRPr="00A756B8">
        <w:rPr>
          <w:color w:val="000000"/>
        </w:rPr>
        <w:t>Mruck</w:t>
      </w:r>
      <w:proofErr w:type="spellEnd"/>
      <w:r w:rsidRPr="00A756B8">
        <w:rPr>
          <w:color w:val="000000"/>
        </w:rPr>
        <w:t xml:space="preserve"> (Eds.), </w:t>
      </w:r>
      <w:proofErr w:type="spellStart"/>
      <w:r w:rsidRPr="00A756B8">
        <w:rPr>
          <w:rStyle w:val="fqscharitalic"/>
          <w:i/>
          <w:iCs/>
          <w:color w:val="000000"/>
        </w:rPr>
        <w:t>Handbuch</w:t>
      </w:r>
      <w:proofErr w:type="spellEnd"/>
      <w:r w:rsidRPr="00A756B8">
        <w:rPr>
          <w:rStyle w:val="fqscharitalic"/>
          <w:i/>
          <w:iCs/>
          <w:color w:val="000000"/>
        </w:rPr>
        <w:t xml:space="preserve"> Qualitative </w:t>
      </w:r>
      <w:proofErr w:type="spellStart"/>
      <w:r w:rsidRPr="00A756B8">
        <w:rPr>
          <w:rStyle w:val="fqscharitalic"/>
          <w:i/>
          <w:iCs/>
          <w:color w:val="000000"/>
        </w:rPr>
        <w:t>Forschung</w:t>
      </w:r>
      <w:proofErr w:type="spellEnd"/>
      <w:r w:rsidRPr="00A756B8">
        <w:rPr>
          <w:rStyle w:val="fqscharitalic"/>
          <w:i/>
          <w:iCs/>
          <w:color w:val="000000"/>
        </w:rPr>
        <w:t xml:space="preserve"> in der </w:t>
      </w:r>
      <w:proofErr w:type="spellStart"/>
      <w:r w:rsidRPr="00A756B8">
        <w:rPr>
          <w:rStyle w:val="fqscharitalic"/>
          <w:i/>
          <w:iCs/>
          <w:color w:val="000000"/>
        </w:rPr>
        <w:t>Psychologie</w:t>
      </w:r>
      <w:proofErr w:type="spellEnd"/>
      <w:r w:rsidRPr="00A756B8">
        <w:rPr>
          <w:color w:val="000000"/>
        </w:rPr>
        <w:t> (pp.367-381). Wiesbaden: VS Verlag/Springer.</w:t>
      </w:r>
    </w:p>
    <w:p w14:paraId="0EFE7178"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Keller, Evelyn F. (1995). </w:t>
      </w:r>
      <w:r w:rsidRPr="00A756B8">
        <w:rPr>
          <w:rStyle w:val="fqscharitalic"/>
          <w:i/>
          <w:iCs/>
          <w:color w:val="000000"/>
        </w:rPr>
        <w:t>Reflections on gender and science</w:t>
      </w:r>
      <w:r w:rsidRPr="00A756B8">
        <w:rPr>
          <w:color w:val="000000"/>
        </w:rPr>
        <w:t>. New Haven, NJ: Yale University Press.</w:t>
      </w:r>
    </w:p>
    <w:p w14:paraId="5253B866"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Kiegelmann</w:t>
      </w:r>
      <w:proofErr w:type="spellEnd"/>
      <w:r w:rsidRPr="00A756B8">
        <w:rPr>
          <w:color w:val="000000"/>
        </w:rPr>
        <w:t xml:space="preserve">, </w:t>
      </w:r>
      <w:proofErr w:type="spellStart"/>
      <w:r w:rsidRPr="00A756B8">
        <w:rPr>
          <w:color w:val="000000"/>
        </w:rPr>
        <w:t>Mechthild</w:t>
      </w:r>
      <w:proofErr w:type="spellEnd"/>
      <w:r w:rsidRPr="00A756B8">
        <w:rPr>
          <w:color w:val="000000"/>
        </w:rPr>
        <w:t xml:space="preserve"> (2010). </w:t>
      </w:r>
      <w:proofErr w:type="spellStart"/>
      <w:r w:rsidRPr="00A756B8">
        <w:rPr>
          <w:color w:val="000000"/>
        </w:rPr>
        <w:t>Ethik</w:t>
      </w:r>
      <w:proofErr w:type="spellEnd"/>
      <w:r w:rsidRPr="00A756B8">
        <w:rPr>
          <w:color w:val="000000"/>
        </w:rPr>
        <w:t xml:space="preserve">. In Günter </w:t>
      </w:r>
      <w:proofErr w:type="spellStart"/>
      <w:r w:rsidRPr="00A756B8">
        <w:rPr>
          <w:color w:val="000000"/>
        </w:rPr>
        <w:t>Mey</w:t>
      </w:r>
      <w:proofErr w:type="spellEnd"/>
      <w:r w:rsidRPr="00A756B8">
        <w:rPr>
          <w:color w:val="000000"/>
        </w:rPr>
        <w:t xml:space="preserve"> &amp; Katja </w:t>
      </w:r>
      <w:proofErr w:type="spellStart"/>
      <w:r w:rsidRPr="00A756B8">
        <w:rPr>
          <w:color w:val="000000"/>
        </w:rPr>
        <w:t>Mruck</w:t>
      </w:r>
      <w:proofErr w:type="spellEnd"/>
      <w:r w:rsidRPr="00A756B8">
        <w:rPr>
          <w:color w:val="000000"/>
        </w:rPr>
        <w:t xml:space="preserve"> (Eds.), </w:t>
      </w:r>
      <w:proofErr w:type="spellStart"/>
      <w:r w:rsidRPr="00A756B8">
        <w:rPr>
          <w:rStyle w:val="fqscharitalic"/>
          <w:i/>
          <w:iCs/>
          <w:color w:val="000000"/>
        </w:rPr>
        <w:t>Handbuch</w:t>
      </w:r>
      <w:proofErr w:type="spellEnd"/>
      <w:r w:rsidRPr="00A756B8">
        <w:rPr>
          <w:rStyle w:val="fqscharitalic"/>
          <w:i/>
          <w:iCs/>
          <w:color w:val="000000"/>
        </w:rPr>
        <w:t xml:space="preserve"> Qualitative </w:t>
      </w:r>
      <w:proofErr w:type="spellStart"/>
      <w:r w:rsidRPr="00A756B8">
        <w:rPr>
          <w:rStyle w:val="fqscharitalic"/>
          <w:i/>
          <w:iCs/>
          <w:color w:val="000000"/>
        </w:rPr>
        <w:t>Forschung</w:t>
      </w:r>
      <w:proofErr w:type="spellEnd"/>
      <w:r w:rsidRPr="00A756B8">
        <w:rPr>
          <w:rStyle w:val="fqscharitalic"/>
          <w:i/>
          <w:iCs/>
          <w:color w:val="000000"/>
        </w:rPr>
        <w:t xml:space="preserve"> in der </w:t>
      </w:r>
      <w:proofErr w:type="spellStart"/>
      <w:r w:rsidRPr="00A756B8">
        <w:rPr>
          <w:rStyle w:val="fqscharitalic"/>
          <w:i/>
          <w:iCs/>
          <w:color w:val="000000"/>
        </w:rPr>
        <w:t>Psychologie</w:t>
      </w:r>
      <w:proofErr w:type="spellEnd"/>
      <w:r w:rsidRPr="00A756B8">
        <w:rPr>
          <w:color w:val="000000"/>
        </w:rPr>
        <w:t> (pp.382-394). Wiesbaden: VS Verlag/Springer.</w:t>
      </w:r>
    </w:p>
    <w:p w14:paraId="70D5F68C"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Kiesinger, Christine E. (2002). My father's shoes: The therapeutic value of narrative reframing. In Arthur P. </w:t>
      </w:r>
      <w:proofErr w:type="spellStart"/>
      <w:r w:rsidRPr="00A756B8">
        <w:rPr>
          <w:color w:val="000000"/>
        </w:rPr>
        <w:t>Bochner</w:t>
      </w:r>
      <w:proofErr w:type="spellEnd"/>
      <w:r w:rsidRPr="00A756B8">
        <w:rPr>
          <w:color w:val="000000"/>
        </w:rPr>
        <w:t xml:space="preserve"> &amp; Carolyn Ellis (Eds.), </w:t>
      </w:r>
      <w:r w:rsidRPr="00A756B8">
        <w:rPr>
          <w:rStyle w:val="fqscharitalic"/>
          <w:i/>
          <w:iCs/>
          <w:color w:val="000000"/>
        </w:rPr>
        <w:t>Ethnographically speaking: Autoethnography, literature, and aesthetics</w:t>
      </w:r>
      <w:r w:rsidRPr="00A756B8">
        <w:rPr>
          <w:color w:val="000000"/>
        </w:rPr>
        <w:t xml:space="preserve"> (pp.95-114). Walnut Creek, CA: </w:t>
      </w:r>
      <w:proofErr w:type="spellStart"/>
      <w:r w:rsidRPr="00A756B8">
        <w:rPr>
          <w:color w:val="000000"/>
        </w:rPr>
        <w:t>AltaMira</w:t>
      </w:r>
      <w:proofErr w:type="spellEnd"/>
      <w:r w:rsidRPr="00A756B8">
        <w:rPr>
          <w:color w:val="000000"/>
        </w:rPr>
        <w:t>.</w:t>
      </w:r>
    </w:p>
    <w:p w14:paraId="5B603C5D"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Kuhn, Thomas S. (1996). </w:t>
      </w:r>
      <w:r w:rsidRPr="00A756B8">
        <w:rPr>
          <w:rStyle w:val="fqscharitalic"/>
          <w:i/>
          <w:iCs/>
          <w:color w:val="000000"/>
        </w:rPr>
        <w:t>The structure of scientific revolutions</w:t>
      </w:r>
      <w:r w:rsidRPr="00A756B8">
        <w:rPr>
          <w:color w:val="000000"/>
        </w:rPr>
        <w:t> (3rd ed.). Chicago: University of Chicago Press.</w:t>
      </w:r>
    </w:p>
    <w:p w14:paraId="15F89E05"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Lamott, Anne (1994). </w:t>
      </w:r>
      <w:r w:rsidRPr="00A756B8">
        <w:rPr>
          <w:rStyle w:val="fqscharitalic"/>
          <w:i/>
          <w:iCs/>
          <w:color w:val="000000"/>
        </w:rPr>
        <w:t>Bird by bird: Some instructions on writing and life</w:t>
      </w:r>
      <w:r w:rsidRPr="00A756B8">
        <w:rPr>
          <w:color w:val="000000"/>
        </w:rPr>
        <w:t>. New York: Anchor.</w:t>
      </w:r>
    </w:p>
    <w:p w14:paraId="7DD2DE4F"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Lindquist, Julie (2002). </w:t>
      </w:r>
      <w:r w:rsidRPr="00A756B8">
        <w:rPr>
          <w:rStyle w:val="fqscharitalic"/>
          <w:i/>
          <w:iCs/>
          <w:color w:val="000000"/>
        </w:rPr>
        <w:t>A place to stand: Politics and persuasion in a working-class bar</w:t>
      </w:r>
      <w:r w:rsidRPr="00A756B8">
        <w:rPr>
          <w:color w:val="000000"/>
        </w:rPr>
        <w:t>. Oxford: Oxford University Press.</w:t>
      </w:r>
    </w:p>
    <w:p w14:paraId="1DA77B41"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Lorde, Audre (1984). </w:t>
      </w:r>
      <w:r w:rsidRPr="00A756B8">
        <w:rPr>
          <w:rStyle w:val="fqscharitalic"/>
          <w:i/>
          <w:iCs/>
          <w:color w:val="000000"/>
        </w:rPr>
        <w:t>Sister outsider</w:t>
      </w:r>
      <w:r w:rsidRPr="00A756B8">
        <w:rPr>
          <w:color w:val="000000"/>
        </w:rPr>
        <w:t>. Berkeley, CA: The Crossing Press.</w:t>
      </w:r>
    </w:p>
    <w:p w14:paraId="3D303E83"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Lyotard, Jean-François (1984). </w:t>
      </w:r>
      <w:r w:rsidRPr="00A756B8">
        <w:rPr>
          <w:rStyle w:val="fqscharitalic"/>
          <w:i/>
          <w:iCs/>
          <w:color w:val="000000"/>
        </w:rPr>
        <w:t>The postmodern condition: A report on knowledge</w:t>
      </w:r>
      <w:r w:rsidRPr="00A756B8">
        <w:rPr>
          <w:color w:val="000000"/>
        </w:rPr>
        <w:t xml:space="preserve"> (transl. by G. Bennington &amp; B. </w:t>
      </w:r>
      <w:proofErr w:type="spellStart"/>
      <w:r w:rsidRPr="00A756B8">
        <w:rPr>
          <w:color w:val="000000"/>
        </w:rPr>
        <w:t>Massumi</w:t>
      </w:r>
      <w:proofErr w:type="spellEnd"/>
      <w:r w:rsidRPr="00A756B8">
        <w:rPr>
          <w:color w:val="000000"/>
        </w:rPr>
        <w:t>). Minneapolis: University of Minnesota Press.</w:t>
      </w:r>
    </w:p>
    <w:p w14:paraId="7EDAEF84"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Madison, D. </w:t>
      </w:r>
      <w:proofErr w:type="spellStart"/>
      <w:r w:rsidRPr="00A756B8">
        <w:rPr>
          <w:color w:val="000000"/>
        </w:rPr>
        <w:t>Soyini</w:t>
      </w:r>
      <w:proofErr w:type="spellEnd"/>
      <w:r w:rsidRPr="00A756B8">
        <w:rPr>
          <w:color w:val="000000"/>
        </w:rPr>
        <w:t xml:space="preserve"> (2006). The dialogic performative in critical ethnography. </w:t>
      </w:r>
      <w:r w:rsidRPr="00A756B8">
        <w:rPr>
          <w:rStyle w:val="fqscharitalic"/>
          <w:i/>
          <w:iCs/>
          <w:color w:val="000000"/>
        </w:rPr>
        <w:t>Text and Performance Quarterly</w:t>
      </w:r>
      <w:r w:rsidRPr="00A756B8">
        <w:rPr>
          <w:color w:val="000000"/>
        </w:rPr>
        <w:t>,</w:t>
      </w:r>
      <w:r w:rsidRPr="00A756B8">
        <w:rPr>
          <w:rStyle w:val="fqscharitalic"/>
          <w:i/>
          <w:iCs/>
          <w:color w:val="000000"/>
        </w:rPr>
        <w:t> 26</w:t>
      </w:r>
      <w:r w:rsidRPr="00A756B8">
        <w:rPr>
          <w:color w:val="000000"/>
        </w:rPr>
        <w:t>(4), 320-324.</w:t>
      </w:r>
    </w:p>
    <w:p w14:paraId="3023A98B"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Makagon</w:t>
      </w:r>
      <w:proofErr w:type="spellEnd"/>
      <w:r w:rsidRPr="00A756B8">
        <w:rPr>
          <w:color w:val="000000"/>
        </w:rPr>
        <w:t>, Daniel (2004). </w:t>
      </w:r>
      <w:r w:rsidRPr="00A756B8">
        <w:rPr>
          <w:rStyle w:val="fqscharitalic"/>
          <w:i/>
          <w:iCs/>
          <w:color w:val="000000"/>
        </w:rPr>
        <w:t>Where the ball drops: Days and nights in Times Square</w:t>
      </w:r>
      <w:r w:rsidRPr="00A756B8">
        <w:rPr>
          <w:color w:val="000000"/>
        </w:rPr>
        <w:t>. Minneapolis: University of Minnesota Press.</w:t>
      </w:r>
    </w:p>
    <w:p w14:paraId="632C0672"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Marvasti</w:t>
      </w:r>
      <w:proofErr w:type="spellEnd"/>
      <w:r w:rsidRPr="00A756B8">
        <w:rPr>
          <w:color w:val="000000"/>
        </w:rPr>
        <w:t>, Amir (2006). Being Middle Eastern American: Identity negotiation in the context of the war on terror. </w:t>
      </w:r>
      <w:r w:rsidRPr="00A756B8">
        <w:rPr>
          <w:rStyle w:val="fqscharitalic"/>
          <w:i/>
          <w:iCs/>
          <w:color w:val="000000"/>
        </w:rPr>
        <w:t>Symbolic Interaction</w:t>
      </w:r>
      <w:r w:rsidRPr="00A756B8">
        <w:rPr>
          <w:color w:val="000000"/>
        </w:rPr>
        <w:t>,</w:t>
      </w:r>
      <w:r w:rsidRPr="00A756B8">
        <w:rPr>
          <w:rStyle w:val="fqscharitalic"/>
          <w:i/>
          <w:iCs/>
          <w:color w:val="000000"/>
        </w:rPr>
        <w:t> 28</w:t>
      </w:r>
      <w:r w:rsidRPr="00A756B8">
        <w:rPr>
          <w:color w:val="000000"/>
        </w:rPr>
        <w:t>(4), 525-547.</w:t>
      </w:r>
    </w:p>
    <w:p w14:paraId="2B003229"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Maso</w:t>
      </w:r>
      <w:proofErr w:type="spellEnd"/>
      <w:r w:rsidRPr="00A756B8">
        <w:rPr>
          <w:color w:val="000000"/>
        </w:rPr>
        <w:t xml:space="preserve">, </w:t>
      </w:r>
      <w:proofErr w:type="spellStart"/>
      <w:r w:rsidRPr="00A756B8">
        <w:rPr>
          <w:color w:val="000000"/>
        </w:rPr>
        <w:t>Ilja</w:t>
      </w:r>
      <w:proofErr w:type="spellEnd"/>
      <w:r w:rsidRPr="00A756B8">
        <w:rPr>
          <w:color w:val="000000"/>
        </w:rPr>
        <w:t xml:space="preserve"> (2001). Phenomenology and ethnography. In Paul Atkinson, Amanda Coffey, Sara Delamont, John </w:t>
      </w:r>
      <w:proofErr w:type="spellStart"/>
      <w:r w:rsidRPr="00A756B8">
        <w:rPr>
          <w:color w:val="000000"/>
        </w:rPr>
        <w:t>Lofland</w:t>
      </w:r>
      <w:proofErr w:type="spellEnd"/>
      <w:r w:rsidRPr="00A756B8">
        <w:rPr>
          <w:color w:val="000000"/>
        </w:rPr>
        <w:t xml:space="preserve"> &amp; Lyn </w:t>
      </w:r>
      <w:proofErr w:type="spellStart"/>
      <w:r w:rsidRPr="00A756B8">
        <w:rPr>
          <w:color w:val="000000"/>
        </w:rPr>
        <w:t>Lofland</w:t>
      </w:r>
      <w:proofErr w:type="spellEnd"/>
      <w:r w:rsidRPr="00A756B8">
        <w:rPr>
          <w:color w:val="000000"/>
        </w:rPr>
        <w:t xml:space="preserve"> (Eds.), </w:t>
      </w:r>
      <w:r w:rsidRPr="00A756B8">
        <w:rPr>
          <w:rStyle w:val="fqscharitalic"/>
          <w:i/>
          <w:iCs/>
          <w:color w:val="000000"/>
        </w:rPr>
        <w:t>Handbook of ethnography</w:t>
      </w:r>
      <w:r w:rsidRPr="00A756B8">
        <w:rPr>
          <w:color w:val="000000"/>
        </w:rPr>
        <w:t> (pp.136-144). Thousand Oaks, CA: Sage.</w:t>
      </w:r>
    </w:p>
    <w:p w14:paraId="41911434"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McCauley, Stephen (1996). Let's say. In Patrick </w:t>
      </w:r>
      <w:proofErr w:type="spellStart"/>
      <w:r w:rsidRPr="00A756B8">
        <w:rPr>
          <w:color w:val="000000"/>
        </w:rPr>
        <w:t>Merla</w:t>
      </w:r>
      <w:proofErr w:type="spellEnd"/>
      <w:r w:rsidRPr="00A756B8">
        <w:rPr>
          <w:color w:val="000000"/>
        </w:rPr>
        <w:t xml:space="preserve"> (Ed.), </w:t>
      </w:r>
      <w:r w:rsidRPr="00A756B8">
        <w:rPr>
          <w:rStyle w:val="fqscharitalic"/>
          <w:i/>
          <w:iCs/>
          <w:color w:val="000000"/>
        </w:rPr>
        <w:t>Boys like us: Gay writers tell their coming out stories</w:t>
      </w:r>
      <w:r w:rsidRPr="00A756B8">
        <w:rPr>
          <w:color w:val="000000"/>
        </w:rPr>
        <w:t> (pp.186-192). New York: Avon.</w:t>
      </w:r>
    </w:p>
    <w:p w14:paraId="75C0E967" w14:textId="77777777" w:rsidR="00306DAA" w:rsidRPr="00A756B8" w:rsidRDefault="00306DAA" w:rsidP="00306DAA">
      <w:pPr>
        <w:ind w:hanging="720"/>
        <w:rPr>
          <w:rFonts w:ascii="Times New Roman" w:eastAsia="Times New Roman" w:hAnsi="Times New Roman" w:cs="Times New Roman"/>
          <w:shd w:val="clear" w:color="auto" w:fill="F6F6F6"/>
        </w:rPr>
      </w:pPr>
      <w:r w:rsidRPr="00A756B8">
        <w:rPr>
          <w:rFonts w:ascii="Times New Roman" w:eastAsia="Times New Roman" w:hAnsi="Times New Roman" w:cs="Times New Roman"/>
          <w:shd w:val="clear" w:color="auto" w:fill="F6F6F6"/>
        </w:rPr>
        <w:lastRenderedPageBreak/>
        <w:t xml:space="preserve">Memory/Character Essays by </w:t>
      </w:r>
      <w:hyperlink r:id="rId40">
        <w:r w:rsidRPr="00A756B8">
          <w:rPr>
            <w:rFonts w:ascii="Times New Roman" w:eastAsia="Times New Roman" w:hAnsi="Times New Roman" w:cs="Times New Roman"/>
            <w:u w:val="single"/>
            <w:shd w:val="clear" w:color="auto" w:fill="F6F6F6"/>
          </w:rPr>
          <w:t xml:space="preserve">Melissa </w:t>
        </w:r>
        <w:proofErr w:type="spellStart"/>
        <w:r w:rsidRPr="00A756B8">
          <w:rPr>
            <w:rFonts w:ascii="Times New Roman" w:eastAsia="Times New Roman" w:hAnsi="Times New Roman" w:cs="Times New Roman"/>
            <w:u w:val="single"/>
            <w:shd w:val="clear" w:color="auto" w:fill="F6F6F6"/>
          </w:rPr>
          <w:t>Tombro</w:t>
        </w:r>
        <w:proofErr w:type="spellEnd"/>
      </w:hyperlink>
      <w:r w:rsidRPr="00A756B8">
        <w:rPr>
          <w:rFonts w:ascii="Times New Roman" w:eastAsia="Times New Roman" w:hAnsi="Times New Roman" w:cs="Times New Roman"/>
          <w:shd w:val="clear" w:color="auto" w:fill="F6F6F6"/>
        </w:rPr>
        <w:t xml:space="preserve"> is licensed under a </w:t>
      </w:r>
      <w:hyperlink r:id="rId41">
        <w:r w:rsidRPr="00A756B8">
          <w:rPr>
            <w:rFonts w:ascii="Times New Roman" w:eastAsia="Times New Roman" w:hAnsi="Times New Roman" w:cs="Times New Roman"/>
            <w:u w:val="single"/>
            <w:shd w:val="clear" w:color="auto" w:fill="F6F6F6"/>
          </w:rPr>
          <w:t>Creative Commons Attribution-</w:t>
        </w:r>
        <w:proofErr w:type="spellStart"/>
        <w:r w:rsidRPr="00A756B8">
          <w:rPr>
            <w:rFonts w:ascii="Times New Roman" w:eastAsia="Times New Roman" w:hAnsi="Times New Roman" w:cs="Times New Roman"/>
            <w:u w:val="single"/>
            <w:shd w:val="clear" w:color="auto" w:fill="F6F6F6"/>
          </w:rPr>
          <w:t>NonCommercial</w:t>
        </w:r>
        <w:proofErr w:type="spellEnd"/>
        <w:r w:rsidRPr="00A756B8">
          <w:rPr>
            <w:rFonts w:ascii="Times New Roman" w:eastAsia="Times New Roman" w:hAnsi="Times New Roman" w:cs="Times New Roman"/>
            <w:u w:val="single"/>
            <w:shd w:val="clear" w:color="auto" w:fill="F6F6F6"/>
          </w:rPr>
          <w:t>-</w:t>
        </w:r>
        <w:proofErr w:type="spellStart"/>
        <w:r w:rsidRPr="00A756B8">
          <w:rPr>
            <w:rFonts w:ascii="Times New Roman" w:eastAsia="Times New Roman" w:hAnsi="Times New Roman" w:cs="Times New Roman"/>
            <w:u w:val="single"/>
            <w:shd w:val="clear" w:color="auto" w:fill="F6F6F6"/>
          </w:rPr>
          <w:t>ShareAlike</w:t>
        </w:r>
        <w:proofErr w:type="spellEnd"/>
        <w:r w:rsidRPr="00A756B8">
          <w:rPr>
            <w:rFonts w:ascii="Times New Roman" w:eastAsia="Times New Roman" w:hAnsi="Times New Roman" w:cs="Times New Roman"/>
            <w:u w:val="single"/>
            <w:shd w:val="clear" w:color="auto" w:fill="F6F6F6"/>
          </w:rPr>
          <w:t xml:space="preserve"> 4.0 International License</w:t>
        </w:r>
      </w:hyperlink>
      <w:r w:rsidRPr="00A756B8">
        <w:rPr>
          <w:rFonts w:ascii="Times New Roman" w:eastAsia="Times New Roman" w:hAnsi="Times New Roman" w:cs="Times New Roman"/>
          <w:shd w:val="clear" w:color="auto" w:fill="F6F6F6"/>
        </w:rPr>
        <w:t>, except where otherwise noted.</w:t>
      </w:r>
    </w:p>
    <w:p w14:paraId="04C6FE72"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Mey</w:t>
      </w:r>
      <w:proofErr w:type="spellEnd"/>
      <w:r w:rsidRPr="00A756B8">
        <w:rPr>
          <w:color w:val="000000"/>
        </w:rPr>
        <w:t xml:space="preserve">, Günter &amp; </w:t>
      </w:r>
      <w:proofErr w:type="spellStart"/>
      <w:r w:rsidRPr="00A756B8">
        <w:rPr>
          <w:color w:val="000000"/>
        </w:rPr>
        <w:t>Mruck</w:t>
      </w:r>
      <w:proofErr w:type="spellEnd"/>
      <w:r w:rsidRPr="00A756B8">
        <w:rPr>
          <w:color w:val="000000"/>
        </w:rPr>
        <w:t xml:space="preserve">, Katja (2010). Interviews. In Günter </w:t>
      </w:r>
      <w:proofErr w:type="spellStart"/>
      <w:r w:rsidRPr="00A756B8">
        <w:rPr>
          <w:color w:val="000000"/>
        </w:rPr>
        <w:t>Mey</w:t>
      </w:r>
      <w:proofErr w:type="spellEnd"/>
      <w:r w:rsidRPr="00A756B8">
        <w:rPr>
          <w:color w:val="000000"/>
        </w:rPr>
        <w:t xml:space="preserve"> &amp; Katja </w:t>
      </w:r>
      <w:proofErr w:type="spellStart"/>
      <w:r w:rsidRPr="00A756B8">
        <w:rPr>
          <w:color w:val="000000"/>
        </w:rPr>
        <w:t>Mruck</w:t>
      </w:r>
      <w:proofErr w:type="spellEnd"/>
      <w:r w:rsidRPr="00A756B8">
        <w:rPr>
          <w:color w:val="000000"/>
        </w:rPr>
        <w:t xml:space="preserve"> (Eds.), </w:t>
      </w:r>
      <w:proofErr w:type="spellStart"/>
      <w:r w:rsidRPr="00A756B8">
        <w:rPr>
          <w:rStyle w:val="fqscharitalic"/>
          <w:i/>
          <w:iCs/>
          <w:color w:val="000000"/>
        </w:rPr>
        <w:t>Handbuch</w:t>
      </w:r>
      <w:proofErr w:type="spellEnd"/>
      <w:r w:rsidRPr="00A756B8">
        <w:rPr>
          <w:rStyle w:val="fqscharitalic"/>
          <w:i/>
          <w:iCs/>
          <w:color w:val="000000"/>
        </w:rPr>
        <w:t xml:space="preserve"> Qualitative </w:t>
      </w:r>
      <w:proofErr w:type="spellStart"/>
      <w:r w:rsidRPr="00A756B8">
        <w:rPr>
          <w:rStyle w:val="fqscharitalic"/>
          <w:i/>
          <w:iCs/>
          <w:color w:val="000000"/>
        </w:rPr>
        <w:t>Forschung</w:t>
      </w:r>
      <w:proofErr w:type="spellEnd"/>
      <w:r w:rsidRPr="00A756B8">
        <w:rPr>
          <w:rStyle w:val="fqscharitalic"/>
          <w:i/>
          <w:iCs/>
          <w:color w:val="000000"/>
        </w:rPr>
        <w:t xml:space="preserve"> in der </w:t>
      </w:r>
      <w:proofErr w:type="spellStart"/>
      <w:r w:rsidRPr="00A756B8">
        <w:rPr>
          <w:rStyle w:val="fqscharitalic"/>
          <w:i/>
          <w:iCs/>
          <w:color w:val="000000"/>
        </w:rPr>
        <w:t>Psychologie</w:t>
      </w:r>
      <w:proofErr w:type="spellEnd"/>
      <w:r w:rsidRPr="00A756B8">
        <w:rPr>
          <w:color w:val="000000"/>
        </w:rPr>
        <w:t> (pp.423-435). Wiesbaden: VS Verlag/Springer.</w:t>
      </w:r>
    </w:p>
    <w:p w14:paraId="611C0FCA"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Minkowitz</w:t>
      </w:r>
      <w:proofErr w:type="spellEnd"/>
      <w:r w:rsidRPr="00A756B8">
        <w:rPr>
          <w:color w:val="000000"/>
        </w:rPr>
        <w:t>, Donna (1995, November/December). In the name of the father. </w:t>
      </w:r>
      <w:r w:rsidRPr="00A756B8">
        <w:rPr>
          <w:rStyle w:val="fqscharitalic"/>
          <w:i/>
          <w:iCs/>
          <w:color w:val="000000"/>
        </w:rPr>
        <w:t>Ms.,</w:t>
      </w:r>
      <w:r w:rsidRPr="00A756B8">
        <w:rPr>
          <w:color w:val="000000"/>
        </w:rPr>
        <w:t> 64-71.</w:t>
      </w:r>
    </w:p>
    <w:p w14:paraId="0C9690F4"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Moro, Pamela (2006). It takes a darn good writer: A review of </w:t>
      </w:r>
      <w:r w:rsidRPr="00A756B8">
        <w:rPr>
          <w:rStyle w:val="fqscharitalic"/>
          <w:i/>
          <w:iCs/>
          <w:color w:val="000000"/>
        </w:rPr>
        <w:t>The Ethnographic I</w:t>
      </w:r>
      <w:r w:rsidRPr="00A756B8">
        <w:rPr>
          <w:color w:val="000000"/>
        </w:rPr>
        <w:t>. </w:t>
      </w:r>
      <w:r w:rsidRPr="00A756B8">
        <w:rPr>
          <w:rStyle w:val="fqscharitalic"/>
          <w:i/>
          <w:iCs/>
          <w:color w:val="000000"/>
        </w:rPr>
        <w:t>Symbolic Interaction</w:t>
      </w:r>
      <w:r w:rsidRPr="00A756B8">
        <w:rPr>
          <w:color w:val="000000"/>
        </w:rPr>
        <w:t>,</w:t>
      </w:r>
      <w:r w:rsidRPr="00A756B8">
        <w:rPr>
          <w:rStyle w:val="fqscharitalic"/>
          <w:i/>
          <w:iCs/>
          <w:color w:val="000000"/>
        </w:rPr>
        <w:t> 29</w:t>
      </w:r>
      <w:r w:rsidRPr="00A756B8">
        <w:rPr>
          <w:color w:val="000000"/>
        </w:rPr>
        <w:t>(2), 265-269.</w:t>
      </w:r>
    </w:p>
    <w:p w14:paraId="07438895"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Neumann, Mark (1999). </w:t>
      </w:r>
      <w:r w:rsidRPr="00A756B8">
        <w:rPr>
          <w:rStyle w:val="fqscharitalic"/>
          <w:i/>
          <w:iCs/>
          <w:color w:val="000000"/>
        </w:rPr>
        <w:t>On the rim: Looking for the Grand Canyon</w:t>
      </w:r>
      <w:r w:rsidRPr="00A756B8">
        <w:rPr>
          <w:color w:val="000000"/>
        </w:rPr>
        <w:t>. Minneapolis: University of Minnesota Press.</w:t>
      </w:r>
    </w:p>
    <w:p w14:paraId="44DB687D"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Nicholas, Cheryl L. (2004). Gaydar: Eye-gaze as identity recognition among gay men and lesbians. </w:t>
      </w:r>
      <w:r w:rsidRPr="00A756B8">
        <w:rPr>
          <w:rStyle w:val="fqscharitalic"/>
          <w:i/>
          <w:iCs/>
          <w:color w:val="000000"/>
        </w:rPr>
        <w:t>Sexuality and Culture</w:t>
      </w:r>
      <w:r w:rsidRPr="00A756B8">
        <w:rPr>
          <w:color w:val="000000"/>
        </w:rPr>
        <w:t>,</w:t>
      </w:r>
      <w:r w:rsidRPr="00A756B8">
        <w:rPr>
          <w:rStyle w:val="fqscharitalic"/>
          <w:i/>
          <w:iCs/>
          <w:color w:val="000000"/>
        </w:rPr>
        <w:t>8</w:t>
      </w:r>
      <w:r w:rsidRPr="00A756B8">
        <w:rPr>
          <w:color w:val="000000"/>
        </w:rPr>
        <w:t>(1), 60-86.</w:t>
      </w:r>
    </w:p>
    <w:p w14:paraId="30444B45"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Paulson, Susan &amp; </w:t>
      </w:r>
      <w:proofErr w:type="spellStart"/>
      <w:r w:rsidRPr="00A756B8">
        <w:rPr>
          <w:color w:val="000000"/>
        </w:rPr>
        <w:t>Willig</w:t>
      </w:r>
      <w:proofErr w:type="spellEnd"/>
      <w:r w:rsidRPr="00A756B8">
        <w:rPr>
          <w:color w:val="000000"/>
        </w:rPr>
        <w:t>, Carla (2008). Older women and everyday talk about the ageing body. </w:t>
      </w:r>
      <w:r w:rsidRPr="00A756B8">
        <w:rPr>
          <w:rStyle w:val="fqscharitalic"/>
          <w:i/>
          <w:iCs/>
          <w:color w:val="000000"/>
        </w:rPr>
        <w:t>Journal of Health Psychology</w:t>
      </w:r>
      <w:r w:rsidRPr="00A756B8">
        <w:rPr>
          <w:color w:val="000000"/>
        </w:rPr>
        <w:t>,</w:t>
      </w:r>
      <w:r w:rsidRPr="00A756B8">
        <w:rPr>
          <w:rStyle w:val="fqscharitalic"/>
          <w:i/>
          <w:iCs/>
          <w:color w:val="000000"/>
        </w:rPr>
        <w:t> 13</w:t>
      </w:r>
      <w:r w:rsidRPr="00A756B8">
        <w:rPr>
          <w:color w:val="000000"/>
        </w:rPr>
        <w:t>(1), 106-120.</w:t>
      </w:r>
    </w:p>
    <w:p w14:paraId="470850F6"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Pelias, Ronald J. (2000). The critical life. </w:t>
      </w:r>
      <w:r w:rsidRPr="00A756B8">
        <w:rPr>
          <w:rStyle w:val="fqscharitalic"/>
          <w:i/>
          <w:iCs/>
          <w:color w:val="000000"/>
        </w:rPr>
        <w:t>Communication Education</w:t>
      </w:r>
      <w:r w:rsidRPr="00A756B8">
        <w:rPr>
          <w:color w:val="000000"/>
        </w:rPr>
        <w:t>,</w:t>
      </w:r>
      <w:r w:rsidRPr="00A756B8">
        <w:rPr>
          <w:rStyle w:val="fqscharitalic"/>
          <w:i/>
          <w:iCs/>
          <w:color w:val="000000"/>
        </w:rPr>
        <w:t> 49</w:t>
      </w:r>
      <w:r w:rsidRPr="00A756B8">
        <w:rPr>
          <w:color w:val="000000"/>
        </w:rPr>
        <w:t>(3), 220-228.</w:t>
      </w:r>
    </w:p>
    <w:p w14:paraId="2516BE5E"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Pelias, Ronald J. (2007). Jarheads, girly men, and the pleasures of violence. </w:t>
      </w:r>
      <w:r w:rsidRPr="00A756B8">
        <w:rPr>
          <w:rStyle w:val="fqscharitalic"/>
          <w:i/>
          <w:iCs/>
          <w:color w:val="000000"/>
        </w:rPr>
        <w:t>Qualitative Inquiry</w:t>
      </w:r>
      <w:r w:rsidRPr="00A756B8">
        <w:rPr>
          <w:color w:val="000000"/>
        </w:rPr>
        <w:t>,</w:t>
      </w:r>
      <w:r w:rsidRPr="00A756B8">
        <w:rPr>
          <w:rStyle w:val="fqscharitalic"/>
          <w:i/>
          <w:iCs/>
          <w:color w:val="000000"/>
        </w:rPr>
        <w:t> 13</w:t>
      </w:r>
      <w:r w:rsidRPr="00A756B8">
        <w:rPr>
          <w:color w:val="000000"/>
        </w:rPr>
        <w:t>(7), 945-959.</w:t>
      </w:r>
    </w:p>
    <w:p w14:paraId="7491DD2F"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Philipsen</w:t>
      </w:r>
      <w:proofErr w:type="spellEnd"/>
      <w:r w:rsidRPr="00A756B8">
        <w:rPr>
          <w:color w:val="000000"/>
        </w:rPr>
        <w:t xml:space="preserve">, Gerry (1976). Places for speaking in </w:t>
      </w:r>
      <w:proofErr w:type="spellStart"/>
      <w:r w:rsidRPr="00A756B8">
        <w:rPr>
          <w:color w:val="000000"/>
        </w:rPr>
        <w:t>Teamsterville</w:t>
      </w:r>
      <w:proofErr w:type="spellEnd"/>
      <w:r w:rsidRPr="00A756B8">
        <w:rPr>
          <w:color w:val="000000"/>
        </w:rPr>
        <w:t>. </w:t>
      </w:r>
      <w:r w:rsidRPr="00A756B8">
        <w:rPr>
          <w:rStyle w:val="fqscharitalic"/>
          <w:i/>
          <w:iCs/>
          <w:color w:val="000000"/>
        </w:rPr>
        <w:t>Quarterly Journal of Speech, 62</w:t>
      </w:r>
      <w:r w:rsidRPr="00A756B8">
        <w:rPr>
          <w:color w:val="000000"/>
        </w:rPr>
        <w:t>(1), 15-25.</w:t>
      </w:r>
    </w:p>
    <w:p w14:paraId="1ADF4764"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Plummer, Ken (2001). The call of life stories in ethnographic research. In Paul Atkinson, Amanda Coffey, Sara Delamont, John </w:t>
      </w:r>
      <w:proofErr w:type="spellStart"/>
      <w:r w:rsidRPr="00A756B8">
        <w:rPr>
          <w:color w:val="000000"/>
        </w:rPr>
        <w:t>Lofland</w:t>
      </w:r>
      <w:proofErr w:type="spellEnd"/>
      <w:r w:rsidRPr="00A756B8">
        <w:rPr>
          <w:color w:val="000000"/>
        </w:rPr>
        <w:t xml:space="preserve"> &amp; Lyn </w:t>
      </w:r>
      <w:proofErr w:type="spellStart"/>
      <w:r w:rsidRPr="00A756B8">
        <w:rPr>
          <w:color w:val="000000"/>
        </w:rPr>
        <w:t>Lofland</w:t>
      </w:r>
      <w:proofErr w:type="spellEnd"/>
      <w:r w:rsidRPr="00A756B8">
        <w:rPr>
          <w:color w:val="000000"/>
        </w:rPr>
        <w:t xml:space="preserve"> (Eds.), </w:t>
      </w:r>
      <w:r w:rsidRPr="00A756B8">
        <w:rPr>
          <w:rStyle w:val="fqscharitalic"/>
          <w:i/>
          <w:iCs/>
          <w:color w:val="000000"/>
        </w:rPr>
        <w:t>Handbook of ethnography</w:t>
      </w:r>
      <w:r w:rsidRPr="00A756B8">
        <w:rPr>
          <w:color w:val="000000"/>
        </w:rPr>
        <w:t> (pp.395-406). Thousand Oaks, CA: Sage.</w:t>
      </w:r>
    </w:p>
    <w:p w14:paraId="02C28FCA"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Poulos, Christopher N. (2008). </w:t>
      </w:r>
      <w:r w:rsidRPr="00A756B8">
        <w:rPr>
          <w:rStyle w:val="fqscharitalic"/>
          <w:i/>
          <w:iCs/>
          <w:color w:val="000000"/>
        </w:rPr>
        <w:t>Accidental ethnography: An inquiry into family secrecy</w:t>
      </w:r>
      <w:r w:rsidRPr="00A756B8">
        <w:rPr>
          <w:color w:val="000000"/>
        </w:rPr>
        <w:t>. Walnut Creek, CA: Left Coast Press.</w:t>
      </w:r>
    </w:p>
    <w:p w14:paraId="7D12DE4B"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Radway</w:t>
      </w:r>
      <w:proofErr w:type="spellEnd"/>
      <w:r w:rsidRPr="00A756B8">
        <w:rPr>
          <w:color w:val="000000"/>
        </w:rPr>
        <w:t>, Janice A. (1984). </w:t>
      </w:r>
      <w:r w:rsidRPr="00A756B8">
        <w:rPr>
          <w:rStyle w:val="fqscharitalic"/>
          <w:i/>
          <w:iCs/>
          <w:color w:val="000000"/>
        </w:rPr>
        <w:t>Reading the romance: Women, patriarchy, and popular literature</w:t>
      </w:r>
      <w:r w:rsidRPr="00A756B8">
        <w:rPr>
          <w:color w:val="000000"/>
        </w:rPr>
        <w:t>. Chapel Hill: University of North Carolina Press.</w:t>
      </w:r>
    </w:p>
    <w:p w14:paraId="57E6E001"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Rambo, Carol (2005). Impressions of grandmother: An autoethnographic portrait. </w:t>
      </w:r>
      <w:r w:rsidRPr="00A756B8">
        <w:rPr>
          <w:rStyle w:val="fqscharitalic"/>
          <w:i/>
          <w:iCs/>
          <w:color w:val="000000"/>
        </w:rPr>
        <w:t>Journal of Contemporary Ethnography</w:t>
      </w:r>
      <w:r w:rsidRPr="00A756B8">
        <w:rPr>
          <w:color w:val="000000"/>
        </w:rPr>
        <w:t>,</w:t>
      </w:r>
      <w:r w:rsidRPr="00A756B8">
        <w:rPr>
          <w:rStyle w:val="fqscharitalic"/>
          <w:i/>
          <w:iCs/>
          <w:color w:val="000000"/>
        </w:rPr>
        <w:t>34</w:t>
      </w:r>
      <w:r w:rsidRPr="00A756B8">
        <w:rPr>
          <w:color w:val="000000"/>
        </w:rPr>
        <w:t>(5), 560-585.</w:t>
      </w:r>
    </w:p>
    <w:p w14:paraId="4F2C6167"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Richardson, Laurel (2000). Writing: A method of inquiry. In Norman K. Denzin &amp; </w:t>
      </w:r>
      <w:proofErr w:type="spellStart"/>
      <w:r w:rsidRPr="00A756B8">
        <w:rPr>
          <w:color w:val="000000"/>
        </w:rPr>
        <w:t>Yvonna</w:t>
      </w:r>
      <w:proofErr w:type="spellEnd"/>
      <w:r w:rsidRPr="00A756B8">
        <w:rPr>
          <w:color w:val="000000"/>
        </w:rPr>
        <w:t xml:space="preserve"> S. Lincoln (Eds.), </w:t>
      </w:r>
      <w:r w:rsidRPr="00A756B8">
        <w:rPr>
          <w:rStyle w:val="fqscharitalic"/>
          <w:i/>
          <w:iCs/>
          <w:color w:val="000000"/>
        </w:rPr>
        <w:t>Handbook of qualitative research</w:t>
      </w:r>
      <w:r w:rsidRPr="00A756B8">
        <w:rPr>
          <w:color w:val="000000"/>
        </w:rPr>
        <w:t> (pp.923-948). Thousand Oaks, CA: Sage.</w:t>
      </w:r>
    </w:p>
    <w:p w14:paraId="74A17A7E"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Riedmann</w:t>
      </w:r>
      <w:proofErr w:type="spellEnd"/>
      <w:r w:rsidRPr="00A756B8">
        <w:rPr>
          <w:color w:val="000000"/>
        </w:rPr>
        <w:t>, Agnes (1993). </w:t>
      </w:r>
      <w:r w:rsidRPr="00A756B8">
        <w:rPr>
          <w:rStyle w:val="fqscharitalic"/>
          <w:i/>
          <w:iCs/>
          <w:color w:val="000000"/>
        </w:rPr>
        <w:t>Science that colonizes: A critique of fertility studies in Africa</w:t>
      </w:r>
      <w:r w:rsidRPr="00A756B8">
        <w:rPr>
          <w:color w:val="000000"/>
        </w:rPr>
        <w:t>. Philadelphia: Temple University Press.</w:t>
      </w:r>
    </w:p>
    <w:p w14:paraId="71E517F3"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Rogers, Kim Lacy (2004). Lynching stories: Family and community memory in the Mississippi Delta. In Kim L. Rogers, Selma </w:t>
      </w:r>
      <w:proofErr w:type="spellStart"/>
      <w:r w:rsidRPr="00A756B8">
        <w:rPr>
          <w:color w:val="000000"/>
        </w:rPr>
        <w:t>Leydesdorff</w:t>
      </w:r>
      <w:proofErr w:type="spellEnd"/>
      <w:r w:rsidRPr="00A756B8">
        <w:rPr>
          <w:color w:val="000000"/>
        </w:rPr>
        <w:t xml:space="preserve"> &amp; Graham Dawson (Eds.), </w:t>
      </w:r>
      <w:r w:rsidRPr="00A756B8">
        <w:rPr>
          <w:rStyle w:val="fqscharitalic"/>
          <w:i/>
          <w:iCs/>
          <w:color w:val="000000"/>
        </w:rPr>
        <w:t>Trauma: Life stories of survivors</w:t>
      </w:r>
      <w:r w:rsidRPr="00A756B8">
        <w:rPr>
          <w:color w:val="000000"/>
        </w:rPr>
        <w:t> (pp.113-130). New Brunswick, NJ: Transaction Press.</w:t>
      </w:r>
    </w:p>
    <w:p w14:paraId="7CD4BFEE"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Ronai</w:t>
      </w:r>
      <w:proofErr w:type="spellEnd"/>
      <w:r w:rsidRPr="00A756B8">
        <w:rPr>
          <w:color w:val="000000"/>
        </w:rPr>
        <w:t>, Carol R. (1992). The reflexive self through narrative: A night in the life of an erotic dancer/researcher. In Carolyn Ellis &amp; Michael G. Flaherty (Eds.), </w:t>
      </w:r>
      <w:r w:rsidRPr="00A756B8">
        <w:rPr>
          <w:rStyle w:val="fqscharitalic"/>
          <w:i/>
          <w:iCs/>
          <w:color w:val="000000"/>
        </w:rPr>
        <w:t>Investigating subjectivity: Research on lived experience</w:t>
      </w:r>
      <w:r w:rsidRPr="00A756B8">
        <w:rPr>
          <w:color w:val="000000"/>
        </w:rPr>
        <w:t> (pp.102-124). Newbury Park, CA: Sage.</w:t>
      </w:r>
    </w:p>
    <w:p w14:paraId="08D41B01"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Ronai</w:t>
      </w:r>
      <w:proofErr w:type="spellEnd"/>
      <w:r w:rsidRPr="00A756B8">
        <w:rPr>
          <w:color w:val="000000"/>
        </w:rPr>
        <w:t>, Carol R. (1995). Multiple reflections of child sex abuse. </w:t>
      </w:r>
      <w:r w:rsidRPr="00A756B8">
        <w:rPr>
          <w:rStyle w:val="fqscharitalic"/>
          <w:i/>
          <w:iCs/>
          <w:color w:val="000000"/>
        </w:rPr>
        <w:t>Journal of Contemporary Ethnography</w:t>
      </w:r>
      <w:r w:rsidRPr="00A756B8">
        <w:rPr>
          <w:color w:val="000000"/>
        </w:rPr>
        <w:t>,</w:t>
      </w:r>
      <w:r w:rsidRPr="00A756B8">
        <w:rPr>
          <w:rStyle w:val="fqscharitalic"/>
          <w:i/>
          <w:iCs/>
          <w:color w:val="000000"/>
        </w:rPr>
        <w:t> 23</w:t>
      </w:r>
      <w:r w:rsidRPr="00A756B8">
        <w:rPr>
          <w:color w:val="000000"/>
        </w:rPr>
        <w:t>(4), 395-426.</w:t>
      </w:r>
    </w:p>
    <w:p w14:paraId="4C1CAD7C"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Ronai</w:t>
      </w:r>
      <w:proofErr w:type="spellEnd"/>
      <w:r w:rsidRPr="00A756B8">
        <w:rPr>
          <w:color w:val="000000"/>
        </w:rPr>
        <w:t xml:space="preserve">, Carol R. (1996). My mother is mentally retarded. In Carolyn Ellis &amp; Arthur P. </w:t>
      </w:r>
      <w:proofErr w:type="spellStart"/>
      <w:r w:rsidRPr="00A756B8">
        <w:rPr>
          <w:color w:val="000000"/>
        </w:rPr>
        <w:t>Bochner</w:t>
      </w:r>
      <w:proofErr w:type="spellEnd"/>
      <w:r w:rsidRPr="00A756B8">
        <w:rPr>
          <w:color w:val="000000"/>
        </w:rPr>
        <w:t xml:space="preserve"> (Eds.), </w:t>
      </w:r>
      <w:r w:rsidRPr="00A756B8">
        <w:rPr>
          <w:rStyle w:val="fqscharitalic"/>
          <w:i/>
          <w:iCs/>
          <w:color w:val="000000"/>
        </w:rPr>
        <w:t>Composing ethnography: Alternative forms of qualitative writing</w:t>
      </w:r>
      <w:r w:rsidRPr="00A756B8">
        <w:rPr>
          <w:color w:val="000000"/>
        </w:rPr>
        <w:t xml:space="preserve"> (pp.109-131). Walnut Creek, CA: </w:t>
      </w:r>
      <w:proofErr w:type="spellStart"/>
      <w:r w:rsidRPr="00A756B8">
        <w:rPr>
          <w:color w:val="000000"/>
        </w:rPr>
        <w:t>AltaMira</w:t>
      </w:r>
      <w:proofErr w:type="spellEnd"/>
      <w:r w:rsidRPr="00A756B8">
        <w:rPr>
          <w:color w:val="000000"/>
        </w:rPr>
        <w:t>.</w:t>
      </w:r>
    </w:p>
    <w:p w14:paraId="033849C3"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Rorty</w:t>
      </w:r>
      <w:proofErr w:type="spellEnd"/>
      <w:r w:rsidRPr="00A756B8">
        <w:rPr>
          <w:color w:val="000000"/>
        </w:rPr>
        <w:t>, Richard (1982). </w:t>
      </w:r>
      <w:r w:rsidRPr="00A756B8">
        <w:rPr>
          <w:rStyle w:val="fqscharitalic"/>
          <w:i/>
          <w:iCs/>
          <w:color w:val="000000"/>
        </w:rPr>
        <w:t>Consequences of pragmatism (essays 1972-1980)</w:t>
      </w:r>
      <w:r w:rsidRPr="00A756B8">
        <w:rPr>
          <w:color w:val="000000"/>
        </w:rPr>
        <w:t>. Minneapolis: University of Minnesota Press.</w:t>
      </w:r>
    </w:p>
    <w:p w14:paraId="21727DE8"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Spry, Tami (2001). Performing autoethnography: An embodied methodological praxis. </w:t>
      </w:r>
      <w:r w:rsidRPr="00A756B8">
        <w:rPr>
          <w:rStyle w:val="fqscharitalic"/>
          <w:i/>
          <w:iCs/>
          <w:color w:val="000000"/>
        </w:rPr>
        <w:t>Qualitative Inquiry</w:t>
      </w:r>
      <w:r w:rsidRPr="00A756B8">
        <w:rPr>
          <w:color w:val="000000"/>
        </w:rPr>
        <w:t>,</w:t>
      </w:r>
      <w:r w:rsidRPr="00A756B8">
        <w:rPr>
          <w:rStyle w:val="fqscharitalic"/>
          <w:i/>
          <w:iCs/>
          <w:color w:val="000000"/>
        </w:rPr>
        <w:t> 7</w:t>
      </w:r>
      <w:r w:rsidRPr="00A756B8">
        <w:rPr>
          <w:color w:val="000000"/>
        </w:rPr>
        <w:t>(6), 706-732.</w:t>
      </w:r>
    </w:p>
    <w:p w14:paraId="4054EC60"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lastRenderedPageBreak/>
        <w:t>Tedlock</w:t>
      </w:r>
      <w:proofErr w:type="spellEnd"/>
      <w:r w:rsidRPr="00A756B8">
        <w:rPr>
          <w:color w:val="000000"/>
        </w:rPr>
        <w:t xml:space="preserve">, Barbara. (1991). From participant observation to the observation of participation: The </w:t>
      </w:r>
      <w:proofErr w:type="spellStart"/>
      <w:r w:rsidRPr="00A756B8">
        <w:rPr>
          <w:color w:val="000000"/>
        </w:rPr>
        <w:t>mergence</w:t>
      </w:r>
      <w:proofErr w:type="spellEnd"/>
      <w:r w:rsidRPr="00A756B8">
        <w:rPr>
          <w:color w:val="000000"/>
        </w:rPr>
        <w:t xml:space="preserve"> of narrative ethnography. </w:t>
      </w:r>
      <w:r w:rsidRPr="00A756B8">
        <w:rPr>
          <w:rStyle w:val="fqscharitalic"/>
          <w:i/>
          <w:iCs/>
          <w:color w:val="000000"/>
        </w:rPr>
        <w:t>Journal of Anthropological Research</w:t>
      </w:r>
      <w:r w:rsidRPr="00A756B8">
        <w:rPr>
          <w:color w:val="000000"/>
        </w:rPr>
        <w:t>,</w:t>
      </w:r>
      <w:r w:rsidRPr="00A756B8">
        <w:rPr>
          <w:rStyle w:val="fqscharitalic"/>
          <w:i/>
          <w:iCs/>
          <w:color w:val="000000"/>
        </w:rPr>
        <w:t> 47</w:t>
      </w:r>
      <w:r w:rsidRPr="00A756B8">
        <w:rPr>
          <w:color w:val="000000"/>
        </w:rPr>
        <w:t>(1), 69-94.</w:t>
      </w:r>
    </w:p>
    <w:p w14:paraId="14FCE71C" w14:textId="77777777" w:rsidR="00306DAA" w:rsidRPr="00A756B8" w:rsidRDefault="00306DAA" w:rsidP="00306DAA">
      <w:pPr>
        <w:ind w:hanging="720"/>
        <w:rPr>
          <w:rFonts w:ascii="Times New Roman" w:eastAsia="Times New Roman" w:hAnsi="Times New Roman" w:cs="Times New Roman"/>
          <w:shd w:val="clear" w:color="auto" w:fill="F6F6F6"/>
        </w:rPr>
      </w:pPr>
      <w:r w:rsidRPr="00A756B8">
        <w:rPr>
          <w:rFonts w:ascii="Times New Roman" w:eastAsia="Times New Roman" w:hAnsi="Times New Roman" w:cs="Times New Roman"/>
          <w:shd w:val="clear" w:color="auto" w:fill="F6F6F6"/>
        </w:rPr>
        <w:t xml:space="preserve">The Autoethnography Project by </w:t>
      </w:r>
      <w:hyperlink r:id="rId42">
        <w:r w:rsidRPr="00A756B8">
          <w:rPr>
            <w:rFonts w:ascii="Times New Roman" w:eastAsia="Times New Roman" w:hAnsi="Times New Roman" w:cs="Times New Roman"/>
            <w:u w:val="single"/>
            <w:shd w:val="clear" w:color="auto" w:fill="F6F6F6"/>
          </w:rPr>
          <w:t xml:space="preserve">Melissa </w:t>
        </w:r>
        <w:proofErr w:type="spellStart"/>
        <w:r w:rsidRPr="00A756B8">
          <w:rPr>
            <w:rFonts w:ascii="Times New Roman" w:eastAsia="Times New Roman" w:hAnsi="Times New Roman" w:cs="Times New Roman"/>
            <w:u w:val="single"/>
            <w:shd w:val="clear" w:color="auto" w:fill="F6F6F6"/>
          </w:rPr>
          <w:t>Tombro</w:t>
        </w:r>
        <w:proofErr w:type="spellEnd"/>
      </w:hyperlink>
      <w:r w:rsidRPr="00A756B8">
        <w:rPr>
          <w:rFonts w:ascii="Times New Roman" w:eastAsia="Times New Roman" w:hAnsi="Times New Roman" w:cs="Times New Roman"/>
          <w:shd w:val="clear" w:color="auto" w:fill="F6F6F6"/>
        </w:rPr>
        <w:t xml:space="preserve"> is licensed under a </w:t>
      </w:r>
      <w:hyperlink r:id="rId43">
        <w:r w:rsidRPr="00A756B8">
          <w:rPr>
            <w:rFonts w:ascii="Times New Roman" w:eastAsia="Times New Roman" w:hAnsi="Times New Roman" w:cs="Times New Roman"/>
            <w:u w:val="single"/>
            <w:shd w:val="clear" w:color="auto" w:fill="F6F6F6"/>
          </w:rPr>
          <w:t>Creative Commons Attribution-</w:t>
        </w:r>
        <w:proofErr w:type="spellStart"/>
        <w:r w:rsidRPr="00A756B8">
          <w:rPr>
            <w:rFonts w:ascii="Times New Roman" w:eastAsia="Times New Roman" w:hAnsi="Times New Roman" w:cs="Times New Roman"/>
            <w:u w:val="single"/>
            <w:shd w:val="clear" w:color="auto" w:fill="F6F6F6"/>
          </w:rPr>
          <w:t>NonCommercial</w:t>
        </w:r>
        <w:proofErr w:type="spellEnd"/>
        <w:r w:rsidRPr="00A756B8">
          <w:rPr>
            <w:rFonts w:ascii="Times New Roman" w:eastAsia="Times New Roman" w:hAnsi="Times New Roman" w:cs="Times New Roman"/>
            <w:u w:val="single"/>
            <w:shd w:val="clear" w:color="auto" w:fill="F6F6F6"/>
          </w:rPr>
          <w:t>-</w:t>
        </w:r>
        <w:proofErr w:type="spellStart"/>
        <w:r w:rsidRPr="00A756B8">
          <w:rPr>
            <w:rFonts w:ascii="Times New Roman" w:eastAsia="Times New Roman" w:hAnsi="Times New Roman" w:cs="Times New Roman"/>
            <w:u w:val="single"/>
            <w:shd w:val="clear" w:color="auto" w:fill="F6F6F6"/>
          </w:rPr>
          <w:t>ShareAlike</w:t>
        </w:r>
        <w:proofErr w:type="spellEnd"/>
        <w:r w:rsidRPr="00A756B8">
          <w:rPr>
            <w:rFonts w:ascii="Times New Roman" w:eastAsia="Times New Roman" w:hAnsi="Times New Roman" w:cs="Times New Roman"/>
            <w:u w:val="single"/>
            <w:shd w:val="clear" w:color="auto" w:fill="F6F6F6"/>
          </w:rPr>
          <w:t xml:space="preserve"> 4.0 International License</w:t>
        </w:r>
      </w:hyperlink>
      <w:r w:rsidRPr="00A756B8">
        <w:rPr>
          <w:rFonts w:ascii="Times New Roman" w:eastAsia="Times New Roman" w:hAnsi="Times New Roman" w:cs="Times New Roman"/>
          <w:shd w:val="clear" w:color="auto" w:fill="F6F6F6"/>
        </w:rPr>
        <w:t>, except where otherwise noted.</w:t>
      </w:r>
    </w:p>
    <w:p w14:paraId="453AD48B"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Thomas, Stefan (2010). </w:t>
      </w:r>
      <w:proofErr w:type="spellStart"/>
      <w:r w:rsidRPr="00A756B8">
        <w:rPr>
          <w:color w:val="000000"/>
        </w:rPr>
        <w:t>Ethnografie</w:t>
      </w:r>
      <w:proofErr w:type="spellEnd"/>
      <w:r w:rsidRPr="00A756B8">
        <w:rPr>
          <w:color w:val="000000"/>
        </w:rPr>
        <w:t xml:space="preserve">. In Günter </w:t>
      </w:r>
      <w:proofErr w:type="spellStart"/>
      <w:r w:rsidRPr="00A756B8">
        <w:rPr>
          <w:color w:val="000000"/>
        </w:rPr>
        <w:t>Mey</w:t>
      </w:r>
      <w:proofErr w:type="spellEnd"/>
      <w:r w:rsidRPr="00A756B8">
        <w:rPr>
          <w:color w:val="000000"/>
        </w:rPr>
        <w:t xml:space="preserve"> &amp; Katja </w:t>
      </w:r>
      <w:proofErr w:type="spellStart"/>
      <w:r w:rsidRPr="00A756B8">
        <w:rPr>
          <w:color w:val="000000"/>
        </w:rPr>
        <w:t>Mruck</w:t>
      </w:r>
      <w:proofErr w:type="spellEnd"/>
      <w:r w:rsidRPr="00A756B8">
        <w:rPr>
          <w:color w:val="000000"/>
        </w:rPr>
        <w:t xml:space="preserve"> (Eds.), </w:t>
      </w:r>
      <w:proofErr w:type="spellStart"/>
      <w:r w:rsidRPr="00A756B8">
        <w:rPr>
          <w:rStyle w:val="fqscharitalic"/>
          <w:i/>
          <w:iCs/>
          <w:color w:val="000000"/>
        </w:rPr>
        <w:t>Handbuch</w:t>
      </w:r>
      <w:proofErr w:type="spellEnd"/>
      <w:r w:rsidRPr="00A756B8">
        <w:rPr>
          <w:rStyle w:val="fqscharitalic"/>
          <w:i/>
          <w:iCs/>
          <w:color w:val="000000"/>
        </w:rPr>
        <w:t xml:space="preserve"> Qualitative </w:t>
      </w:r>
      <w:proofErr w:type="spellStart"/>
      <w:r w:rsidRPr="00A756B8">
        <w:rPr>
          <w:rStyle w:val="fqscharitalic"/>
          <w:i/>
          <w:iCs/>
          <w:color w:val="000000"/>
        </w:rPr>
        <w:t>Forschung</w:t>
      </w:r>
      <w:proofErr w:type="spellEnd"/>
      <w:r w:rsidRPr="00A756B8">
        <w:rPr>
          <w:rStyle w:val="fqscharitalic"/>
          <w:i/>
          <w:iCs/>
          <w:color w:val="000000"/>
        </w:rPr>
        <w:t xml:space="preserve"> in der </w:t>
      </w:r>
      <w:proofErr w:type="spellStart"/>
      <w:r w:rsidRPr="00A756B8">
        <w:rPr>
          <w:rStyle w:val="fqscharitalic"/>
          <w:i/>
          <w:iCs/>
          <w:color w:val="000000"/>
        </w:rPr>
        <w:t>Psychologie</w:t>
      </w:r>
      <w:proofErr w:type="spellEnd"/>
      <w:r w:rsidRPr="00A756B8">
        <w:rPr>
          <w:color w:val="000000"/>
        </w:rPr>
        <w:t> (pp.462-475). Wiesbaden: VS Verlag/Springer.</w:t>
      </w:r>
    </w:p>
    <w:p w14:paraId="7CF8BB40"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Tillmann</w:t>
      </w:r>
      <w:proofErr w:type="spellEnd"/>
      <w:r w:rsidRPr="00A756B8">
        <w:rPr>
          <w:color w:val="000000"/>
        </w:rPr>
        <w:t>, Lisa M. (2009). Body and bulimia revisited: Reflections on "A Secret Life." </w:t>
      </w:r>
      <w:r w:rsidRPr="00A756B8">
        <w:rPr>
          <w:rStyle w:val="fqscharitalic"/>
          <w:i/>
          <w:iCs/>
          <w:color w:val="000000"/>
        </w:rPr>
        <w:t>Journal of Applied Communication Research</w:t>
      </w:r>
      <w:r w:rsidRPr="00A756B8">
        <w:rPr>
          <w:color w:val="000000"/>
        </w:rPr>
        <w:t>,</w:t>
      </w:r>
      <w:r w:rsidRPr="00A756B8">
        <w:rPr>
          <w:rStyle w:val="fqscharitalic"/>
          <w:i/>
          <w:iCs/>
          <w:color w:val="000000"/>
        </w:rPr>
        <w:t> 37</w:t>
      </w:r>
      <w:r w:rsidRPr="00A756B8">
        <w:rPr>
          <w:color w:val="000000"/>
        </w:rPr>
        <w:t>(1), 98-112.</w:t>
      </w:r>
    </w:p>
    <w:p w14:paraId="6D346F86"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Tillmann</w:t>
      </w:r>
      <w:proofErr w:type="spellEnd"/>
      <w:r w:rsidRPr="00A756B8">
        <w:rPr>
          <w:color w:val="000000"/>
        </w:rPr>
        <w:t>-Healy, Lisa M. (2001). </w:t>
      </w:r>
      <w:r w:rsidRPr="00A756B8">
        <w:rPr>
          <w:rStyle w:val="fqscharitalic"/>
          <w:i/>
          <w:iCs/>
          <w:color w:val="000000"/>
        </w:rPr>
        <w:t>Between gay and straight: Understanding friendship across sexual orientation</w:t>
      </w:r>
      <w:r w:rsidRPr="00A756B8">
        <w:rPr>
          <w:color w:val="000000"/>
        </w:rPr>
        <w:t xml:space="preserve">. Walnut Creek, CA: </w:t>
      </w:r>
      <w:proofErr w:type="spellStart"/>
      <w:r w:rsidRPr="00A756B8">
        <w:rPr>
          <w:color w:val="000000"/>
        </w:rPr>
        <w:t>AltaMira</w:t>
      </w:r>
      <w:proofErr w:type="spellEnd"/>
      <w:r w:rsidRPr="00A756B8">
        <w:rPr>
          <w:color w:val="000000"/>
        </w:rPr>
        <w:t>.</w:t>
      </w:r>
    </w:p>
    <w:p w14:paraId="0FA74977"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Tillmann</w:t>
      </w:r>
      <w:proofErr w:type="spellEnd"/>
      <w:r w:rsidRPr="00A756B8">
        <w:rPr>
          <w:color w:val="000000"/>
        </w:rPr>
        <w:t>-Healy, Lisa M. (2003). Friendship as method. </w:t>
      </w:r>
      <w:r w:rsidRPr="00A756B8">
        <w:rPr>
          <w:rStyle w:val="fqscharitalic"/>
          <w:i/>
          <w:iCs/>
          <w:color w:val="000000"/>
        </w:rPr>
        <w:t>Qualitative Inquiry</w:t>
      </w:r>
      <w:r w:rsidRPr="00A756B8">
        <w:rPr>
          <w:color w:val="000000"/>
        </w:rPr>
        <w:t>,</w:t>
      </w:r>
      <w:r w:rsidRPr="00A756B8">
        <w:rPr>
          <w:rStyle w:val="fqscharitalic"/>
          <w:i/>
          <w:iCs/>
          <w:color w:val="000000"/>
        </w:rPr>
        <w:t> 9</w:t>
      </w:r>
      <w:r w:rsidRPr="00A756B8">
        <w:rPr>
          <w:color w:val="000000"/>
        </w:rPr>
        <w:t>(5), 729-749.</w:t>
      </w:r>
    </w:p>
    <w:p w14:paraId="1FBA0F5B"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Tololyan</w:t>
      </w:r>
      <w:proofErr w:type="spellEnd"/>
      <w:r w:rsidRPr="00A756B8">
        <w:rPr>
          <w:color w:val="000000"/>
        </w:rPr>
        <w:t>, Khachig (1987). Cultural narrative and the motivation of the terrorist. </w:t>
      </w:r>
      <w:r w:rsidRPr="00A756B8">
        <w:rPr>
          <w:rStyle w:val="fqscharitalic"/>
          <w:i/>
          <w:iCs/>
          <w:color w:val="000000"/>
        </w:rPr>
        <w:t>The Journal of Strategic Studies</w:t>
      </w:r>
      <w:r w:rsidRPr="00A756B8">
        <w:rPr>
          <w:color w:val="000000"/>
        </w:rPr>
        <w:t>,</w:t>
      </w:r>
      <w:r w:rsidRPr="00A756B8">
        <w:rPr>
          <w:rStyle w:val="fqscharitalic"/>
          <w:i/>
          <w:iCs/>
          <w:color w:val="000000"/>
        </w:rPr>
        <w:t> 10</w:t>
      </w:r>
      <w:r w:rsidRPr="00A756B8">
        <w:rPr>
          <w:color w:val="000000"/>
        </w:rPr>
        <w:t>(4), 217-233.</w:t>
      </w:r>
    </w:p>
    <w:p w14:paraId="3FEBE795"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Toyosaki</w:t>
      </w:r>
      <w:proofErr w:type="spellEnd"/>
      <w:r w:rsidRPr="00A756B8">
        <w:rPr>
          <w:color w:val="000000"/>
        </w:rPr>
        <w:t xml:space="preserve">, Satoshi &amp; </w:t>
      </w:r>
      <w:proofErr w:type="spellStart"/>
      <w:r w:rsidRPr="00A756B8">
        <w:rPr>
          <w:color w:val="000000"/>
        </w:rPr>
        <w:t>Pensoneau</w:t>
      </w:r>
      <w:proofErr w:type="spellEnd"/>
      <w:r w:rsidRPr="00A756B8">
        <w:rPr>
          <w:color w:val="000000"/>
        </w:rPr>
        <w:t xml:space="preserve">, Sandra (2005). </w:t>
      </w:r>
      <w:proofErr w:type="spellStart"/>
      <w:r w:rsidRPr="00A756B8">
        <w:rPr>
          <w:color w:val="000000"/>
        </w:rPr>
        <w:t>Yaezakura</w:t>
      </w:r>
      <w:proofErr w:type="spellEnd"/>
      <w:r w:rsidRPr="00A756B8">
        <w:rPr>
          <w:color w:val="000000"/>
        </w:rPr>
        <w:t>—Interpersonal culture analysis. </w:t>
      </w:r>
      <w:r w:rsidRPr="00A756B8">
        <w:rPr>
          <w:rStyle w:val="fqscharitalic"/>
          <w:i/>
          <w:iCs/>
          <w:color w:val="000000"/>
        </w:rPr>
        <w:t>International Journal of Communication</w:t>
      </w:r>
      <w:r w:rsidRPr="00A756B8">
        <w:rPr>
          <w:color w:val="000000"/>
        </w:rPr>
        <w:t>,</w:t>
      </w:r>
      <w:r w:rsidRPr="00A756B8">
        <w:rPr>
          <w:rStyle w:val="fqscharitalic"/>
          <w:i/>
          <w:iCs/>
          <w:color w:val="000000"/>
        </w:rPr>
        <w:t> 15</w:t>
      </w:r>
      <w:r w:rsidRPr="00A756B8">
        <w:rPr>
          <w:color w:val="000000"/>
        </w:rPr>
        <w:t>(1-2), 51-88.</w:t>
      </w:r>
    </w:p>
    <w:p w14:paraId="58200A95"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Toyosaki</w:t>
      </w:r>
      <w:proofErr w:type="spellEnd"/>
      <w:r w:rsidRPr="00A756B8">
        <w:rPr>
          <w:color w:val="000000"/>
        </w:rPr>
        <w:t xml:space="preserve">, Satoshi; </w:t>
      </w:r>
      <w:proofErr w:type="spellStart"/>
      <w:r w:rsidRPr="00A756B8">
        <w:rPr>
          <w:color w:val="000000"/>
        </w:rPr>
        <w:t>Pensoneau</w:t>
      </w:r>
      <w:proofErr w:type="spellEnd"/>
      <w:r w:rsidRPr="00A756B8">
        <w:rPr>
          <w:color w:val="000000"/>
        </w:rPr>
        <w:t>-Conway, Sandra L.; Wendt, Nathan A. &amp; Leathers, Kyle (2009). Community autoethnography: Compiling the personal and resituating whiteness. </w:t>
      </w:r>
      <w:r w:rsidRPr="00A756B8">
        <w:rPr>
          <w:rStyle w:val="fqscharitalic"/>
          <w:i/>
          <w:iCs/>
          <w:color w:val="000000"/>
        </w:rPr>
        <w:t>Cultural Studies ↔ Critical Methodologies</w:t>
      </w:r>
      <w:r w:rsidRPr="00A756B8">
        <w:rPr>
          <w:color w:val="000000"/>
        </w:rPr>
        <w:t>,</w:t>
      </w:r>
      <w:r w:rsidRPr="00A756B8">
        <w:rPr>
          <w:rStyle w:val="fqscharitalic"/>
          <w:i/>
          <w:iCs/>
          <w:color w:val="000000"/>
        </w:rPr>
        <w:t> 9</w:t>
      </w:r>
      <w:r w:rsidRPr="00A756B8">
        <w:rPr>
          <w:color w:val="000000"/>
        </w:rPr>
        <w:t>(1), 56-83.</w:t>
      </w:r>
    </w:p>
    <w:p w14:paraId="6042CC98"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Trahar</w:t>
      </w:r>
      <w:proofErr w:type="spellEnd"/>
      <w:r w:rsidRPr="00A756B8">
        <w:rPr>
          <w:color w:val="000000"/>
        </w:rPr>
        <w:t>, Sheila (2009). Beyond the story itself: Narrative inquiry and autoethnography in intercultural research in higher education. </w:t>
      </w:r>
      <w:r w:rsidRPr="00A756B8">
        <w:rPr>
          <w:rStyle w:val="fqscharitalic"/>
          <w:i/>
          <w:iCs/>
          <w:color w:val="000000"/>
        </w:rPr>
        <w:t xml:space="preserve">Forum Qualitative </w:t>
      </w:r>
      <w:proofErr w:type="spellStart"/>
      <w:r w:rsidRPr="00A756B8">
        <w:rPr>
          <w:rStyle w:val="fqscharitalic"/>
          <w:i/>
          <w:iCs/>
          <w:color w:val="000000"/>
        </w:rPr>
        <w:t>Sozialforschung</w:t>
      </w:r>
      <w:proofErr w:type="spellEnd"/>
      <w:r w:rsidRPr="00A756B8">
        <w:rPr>
          <w:rStyle w:val="fqscharitalic"/>
          <w:i/>
          <w:iCs/>
          <w:color w:val="000000"/>
        </w:rPr>
        <w:t xml:space="preserve"> / Forum: Qualitative Social Research</w:t>
      </w:r>
      <w:r w:rsidRPr="00A756B8">
        <w:rPr>
          <w:color w:val="000000"/>
        </w:rPr>
        <w:t>, </w:t>
      </w:r>
      <w:r w:rsidRPr="00A756B8">
        <w:rPr>
          <w:rStyle w:val="fqscharitalic"/>
          <w:i/>
          <w:iCs/>
          <w:color w:val="000000"/>
        </w:rPr>
        <w:t>10</w:t>
      </w:r>
      <w:r w:rsidRPr="00A756B8">
        <w:rPr>
          <w:color w:val="000000"/>
        </w:rPr>
        <w:t>(1), Art. 30, </w:t>
      </w:r>
      <w:bookmarkStart w:id="1" w:name=""/>
      <w:r w:rsidRPr="00A756B8">
        <w:rPr>
          <w:color w:val="000000"/>
        </w:rPr>
        <w:fldChar w:fldCharType="begin"/>
      </w:r>
      <w:r w:rsidRPr="00A756B8">
        <w:rPr>
          <w:color w:val="000000"/>
        </w:rPr>
        <w:instrText xml:space="preserve"> HYPERLINK "http://nbn-resolving.de/urn:nbn:de:0114-fqs0901308" \t "_blank" </w:instrText>
      </w:r>
      <w:r w:rsidRPr="00A756B8">
        <w:rPr>
          <w:color w:val="000000"/>
        </w:rPr>
        <w:fldChar w:fldCharType="separate"/>
      </w:r>
      <w:r w:rsidRPr="00A756B8">
        <w:rPr>
          <w:rStyle w:val="Hyperlink"/>
          <w:color w:val="996600"/>
        </w:rPr>
        <w:t>http://nbn-resolving.de/urn:nbn:de:0114-fqs0901308</w:t>
      </w:r>
      <w:r w:rsidRPr="00A756B8">
        <w:rPr>
          <w:color w:val="000000"/>
        </w:rPr>
        <w:fldChar w:fldCharType="end"/>
      </w:r>
      <w:bookmarkEnd w:id="1"/>
      <w:r w:rsidRPr="00A756B8">
        <w:rPr>
          <w:color w:val="000000"/>
        </w:rPr>
        <w:t>.</w:t>
      </w:r>
    </w:p>
    <w:p w14:paraId="7DAFD495"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Tullis Owen, Jillian A.; McRae, Chris; Adams, Tony E. &amp; Vitale, Alisha (2009). truth troubles. </w:t>
      </w:r>
      <w:r w:rsidRPr="00A756B8">
        <w:rPr>
          <w:rStyle w:val="fqscharitalic"/>
          <w:i/>
          <w:iCs/>
          <w:color w:val="000000"/>
        </w:rPr>
        <w:t>Qualitative Inquiry</w:t>
      </w:r>
      <w:r w:rsidRPr="00A756B8">
        <w:rPr>
          <w:color w:val="000000"/>
        </w:rPr>
        <w:t>,</w:t>
      </w:r>
      <w:r w:rsidRPr="00A756B8">
        <w:rPr>
          <w:rStyle w:val="fqscharitalic"/>
          <w:i/>
          <w:iCs/>
          <w:color w:val="000000"/>
        </w:rPr>
        <w:t> 15</w:t>
      </w:r>
      <w:r w:rsidRPr="00A756B8">
        <w:rPr>
          <w:color w:val="000000"/>
        </w:rPr>
        <w:t>(1), 178-200.</w:t>
      </w:r>
    </w:p>
    <w:p w14:paraId="5D7B5183"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Valenzuela, Angela (1999). </w:t>
      </w:r>
      <w:r w:rsidRPr="00A756B8">
        <w:rPr>
          <w:rStyle w:val="fqscharitalic"/>
          <w:i/>
          <w:iCs/>
          <w:color w:val="000000"/>
        </w:rPr>
        <w:t>Subtractive schooling: U.S.-Mexican youth and the politics of caring</w:t>
      </w:r>
      <w:r w:rsidRPr="00A756B8">
        <w:rPr>
          <w:color w:val="000000"/>
        </w:rPr>
        <w:t>. Albany: State University of New York Press.</w:t>
      </w:r>
    </w:p>
    <w:p w14:paraId="5EF2F251"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 xml:space="preserve">Van </w:t>
      </w:r>
      <w:proofErr w:type="spellStart"/>
      <w:r w:rsidRPr="00A756B8">
        <w:rPr>
          <w:color w:val="000000"/>
        </w:rPr>
        <w:t>Maanen</w:t>
      </w:r>
      <w:proofErr w:type="spellEnd"/>
      <w:r w:rsidRPr="00A756B8">
        <w:rPr>
          <w:color w:val="000000"/>
        </w:rPr>
        <w:t>, John (1988). </w:t>
      </w:r>
      <w:r w:rsidRPr="00A756B8">
        <w:rPr>
          <w:rStyle w:val="fqscharitalic"/>
          <w:i/>
          <w:iCs/>
          <w:color w:val="000000"/>
        </w:rPr>
        <w:t>Tales of the field: On writing ethnography</w:t>
      </w:r>
      <w:r w:rsidRPr="00A756B8">
        <w:rPr>
          <w:color w:val="000000"/>
        </w:rPr>
        <w:t>. Chicago: University of Chicago Press.</w:t>
      </w:r>
    </w:p>
    <w:p w14:paraId="29470490"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Vande</w:t>
      </w:r>
      <w:proofErr w:type="spellEnd"/>
      <w:r w:rsidRPr="00A756B8">
        <w:rPr>
          <w:color w:val="000000"/>
        </w:rPr>
        <w:t xml:space="preserve"> Berg, Leah &amp; Trujillo, Nick (2008). </w:t>
      </w:r>
      <w:r w:rsidRPr="00A756B8">
        <w:rPr>
          <w:rStyle w:val="fqscharitalic"/>
          <w:i/>
          <w:iCs/>
          <w:color w:val="000000"/>
        </w:rPr>
        <w:t>Cancer and death: A love story in two voices</w:t>
      </w:r>
      <w:r w:rsidRPr="00A756B8">
        <w:rPr>
          <w:color w:val="000000"/>
        </w:rPr>
        <w:t>. Cresskill, NJ: Hampton Press.</w:t>
      </w:r>
    </w:p>
    <w:p w14:paraId="2486DAD0" w14:textId="77777777" w:rsidR="00306DAA" w:rsidRPr="00A756B8"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Vidich</w:t>
      </w:r>
      <w:proofErr w:type="spellEnd"/>
      <w:r w:rsidRPr="00A756B8">
        <w:rPr>
          <w:color w:val="000000"/>
        </w:rPr>
        <w:t xml:space="preserve">, Arthur &amp; </w:t>
      </w:r>
      <w:proofErr w:type="spellStart"/>
      <w:r w:rsidRPr="00A756B8">
        <w:rPr>
          <w:color w:val="000000"/>
        </w:rPr>
        <w:t>Bensman</w:t>
      </w:r>
      <w:proofErr w:type="spellEnd"/>
      <w:r w:rsidRPr="00A756B8">
        <w:rPr>
          <w:color w:val="000000"/>
        </w:rPr>
        <w:t>, Joseph (1958). </w:t>
      </w:r>
      <w:r w:rsidRPr="00A756B8">
        <w:rPr>
          <w:rStyle w:val="fqscharitalic"/>
          <w:i/>
          <w:iCs/>
          <w:color w:val="000000"/>
        </w:rPr>
        <w:t>Small town in mass society</w:t>
      </w:r>
      <w:r w:rsidRPr="00A756B8">
        <w:rPr>
          <w:color w:val="000000"/>
        </w:rPr>
        <w:t>. Princeton: Princeton University Press.</w:t>
      </w:r>
    </w:p>
    <w:p w14:paraId="64851083"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Wood, Julie T. (2009). </w:t>
      </w:r>
      <w:r w:rsidRPr="00A756B8">
        <w:rPr>
          <w:rStyle w:val="fqscharitalic"/>
          <w:i/>
          <w:iCs/>
          <w:color w:val="000000"/>
        </w:rPr>
        <w:t>Gendered lives: Communication, gender, and culture</w:t>
      </w:r>
      <w:r w:rsidRPr="00A756B8">
        <w:rPr>
          <w:color w:val="000000"/>
        </w:rPr>
        <w:t>. Boston: Wadsworth.</w:t>
      </w:r>
    </w:p>
    <w:p w14:paraId="5FD75F35" w14:textId="77777777" w:rsidR="00306DAA" w:rsidRPr="00A756B8" w:rsidRDefault="00306DAA" w:rsidP="00306DAA">
      <w:pPr>
        <w:pStyle w:val="fqsreferenceentry"/>
        <w:shd w:val="clear" w:color="auto" w:fill="FFFFFF"/>
        <w:spacing w:before="0" w:beforeAutospacing="0" w:after="0" w:afterAutospacing="0"/>
        <w:ind w:hanging="720"/>
        <w:rPr>
          <w:color w:val="000000"/>
        </w:rPr>
      </w:pPr>
      <w:r w:rsidRPr="00A756B8">
        <w:rPr>
          <w:color w:val="000000"/>
        </w:rPr>
        <w:t>Wyatt, Jonathan (2008). No longer loss: Autoethnographic stammering. </w:t>
      </w:r>
      <w:r w:rsidRPr="00A756B8">
        <w:rPr>
          <w:rStyle w:val="fqscharitalic"/>
          <w:i/>
          <w:iCs/>
          <w:color w:val="000000"/>
        </w:rPr>
        <w:t>Qualitative Inquiry</w:t>
      </w:r>
      <w:r w:rsidRPr="00A756B8">
        <w:rPr>
          <w:color w:val="000000"/>
        </w:rPr>
        <w:t>,</w:t>
      </w:r>
      <w:r w:rsidRPr="00A756B8">
        <w:rPr>
          <w:rStyle w:val="fqscharitalic"/>
          <w:i/>
          <w:iCs/>
          <w:color w:val="000000"/>
        </w:rPr>
        <w:t> 14</w:t>
      </w:r>
      <w:r w:rsidRPr="00A756B8">
        <w:rPr>
          <w:color w:val="000000"/>
        </w:rPr>
        <w:t>(6), 955-967.</w:t>
      </w:r>
    </w:p>
    <w:p w14:paraId="646C6A7D" w14:textId="4B6A048B" w:rsidR="00306DAA" w:rsidRDefault="00306DAA" w:rsidP="00306DAA">
      <w:pPr>
        <w:pStyle w:val="fqsreferenceentry"/>
        <w:shd w:val="clear" w:color="auto" w:fill="FFFFFF"/>
        <w:spacing w:before="0" w:beforeAutospacing="0" w:after="0" w:afterAutospacing="0"/>
        <w:ind w:hanging="720"/>
        <w:rPr>
          <w:color w:val="000000"/>
        </w:rPr>
      </w:pPr>
      <w:proofErr w:type="spellStart"/>
      <w:r w:rsidRPr="00A756B8">
        <w:rPr>
          <w:color w:val="000000"/>
        </w:rPr>
        <w:t>Zaner</w:t>
      </w:r>
      <w:proofErr w:type="spellEnd"/>
      <w:r w:rsidRPr="00A756B8">
        <w:rPr>
          <w:color w:val="000000"/>
        </w:rPr>
        <w:t>, Richard M. (2004). </w:t>
      </w:r>
      <w:r w:rsidRPr="00A756B8">
        <w:rPr>
          <w:rStyle w:val="fqscharitalic"/>
          <w:i/>
          <w:iCs/>
          <w:color w:val="000000"/>
        </w:rPr>
        <w:t>Conversations on the edge: Narratives of ethics and illness</w:t>
      </w:r>
      <w:r w:rsidRPr="00A756B8">
        <w:rPr>
          <w:color w:val="000000"/>
        </w:rPr>
        <w:t>. Washington, DC: Georgetown University Press.</w:t>
      </w:r>
    </w:p>
    <w:p w14:paraId="22AC5A48" w14:textId="2930A8E4" w:rsidR="00306DAA" w:rsidRPr="0020229F" w:rsidRDefault="00306DAA" w:rsidP="00306DAA">
      <w:pPr>
        <w:rPr>
          <w:rFonts w:ascii="Times New Roman" w:eastAsia="Times New Roman" w:hAnsi="Times New Roman" w:cs="Times New Roman"/>
          <w:shd w:val="clear" w:color="auto" w:fill="F6F6F6"/>
        </w:rPr>
      </w:pPr>
    </w:p>
    <w:p w14:paraId="002CDB97" w14:textId="6BF907EC" w:rsidR="00306DAA" w:rsidRDefault="00306DAA">
      <w:r>
        <w:br w:type="page"/>
      </w:r>
    </w:p>
    <w:p w14:paraId="6783CB92" w14:textId="77777777" w:rsidR="00D91945" w:rsidRPr="00934E91" w:rsidRDefault="00D91945" w:rsidP="00D91945">
      <w:pPr>
        <w:pStyle w:val="Heading1"/>
        <w:spacing w:before="0"/>
        <w:jc w:val="center"/>
        <w:rPr>
          <w:rFonts w:ascii="Times New Roman" w:eastAsia="Times New Roman" w:hAnsi="Times New Roman" w:cs="Times New Roman"/>
          <w:color w:val="auto"/>
          <w:sz w:val="24"/>
          <w:szCs w:val="24"/>
        </w:rPr>
      </w:pPr>
      <w:r w:rsidRPr="00934E91">
        <w:rPr>
          <w:rFonts w:ascii="Times New Roman" w:eastAsia="Times New Roman" w:hAnsi="Times New Roman" w:cs="Times New Roman"/>
          <w:color w:val="auto"/>
          <w:sz w:val="24"/>
          <w:szCs w:val="24"/>
        </w:rPr>
        <w:lastRenderedPageBreak/>
        <w:t>Research Ethics</w:t>
      </w:r>
    </w:p>
    <w:p w14:paraId="46258DE2" w14:textId="77777777" w:rsidR="00D91945" w:rsidRPr="00934E91" w:rsidRDefault="00D91945" w:rsidP="00D91945">
      <w:pPr>
        <w:jc w:val="center"/>
        <w:rPr>
          <w:rFonts w:ascii="Times New Roman" w:hAnsi="Times New Roman" w:cs="Times New Roman"/>
        </w:rPr>
      </w:pPr>
      <w:r w:rsidRPr="00934E91">
        <w:rPr>
          <w:rFonts w:ascii="Times New Roman" w:hAnsi="Times New Roman" w:cs="Times New Roman"/>
        </w:rPr>
        <w:t>Alia R. Tyner-Mullings</w:t>
      </w:r>
    </w:p>
    <w:p w14:paraId="29C0FBE2" w14:textId="77777777" w:rsidR="00D91945" w:rsidRPr="00934E91" w:rsidRDefault="00D91945" w:rsidP="00D91945">
      <w:pPr>
        <w:shd w:val="clear" w:color="auto" w:fill="FFFFFF"/>
        <w:ind w:firstLine="720"/>
        <w:jc w:val="center"/>
        <w:textAlignment w:val="top"/>
        <w:rPr>
          <w:rFonts w:ascii="Times New Roman" w:eastAsia="Times New Roman" w:hAnsi="Times New Roman" w:cs="Times New Roman"/>
          <w:u w:val="single"/>
        </w:rPr>
      </w:pPr>
    </w:p>
    <w:p w14:paraId="6B8BCC57" w14:textId="77777777" w:rsidR="00D91945" w:rsidRPr="00934E91" w:rsidRDefault="00D91945" w:rsidP="00D91945">
      <w:pPr>
        <w:shd w:val="clear" w:color="auto" w:fill="FFFFFF"/>
        <w:ind w:firstLine="720"/>
        <w:textAlignment w:val="top"/>
        <w:rPr>
          <w:rFonts w:ascii="Times New Roman" w:eastAsia="Times New Roman" w:hAnsi="Times New Roman" w:cs="Times New Roman"/>
        </w:rPr>
      </w:pPr>
      <w:r w:rsidRPr="00934E91">
        <w:rPr>
          <w:rFonts w:ascii="Times New Roman" w:eastAsia="Times New Roman" w:hAnsi="Times New Roman" w:cs="Times New Roman"/>
        </w:rPr>
        <w:t>Practicing sociologists and sociology students have a lot to consider when conducting research. Researchers must try to be skillful and fair-minded in their work, especially as it relates to their human subjects. Researchers must obtain participants’ informed consent and inform subjects of the responsibilities and risks of research before they agree to partake. During a study, sociologists must also ensure the safety of participants and immediately stop work if a subject becomes potentially endangered on any level. This chapter will discuss some of the ways this happens and what happens when it does not.</w:t>
      </w:r>
    </w:p>
    <w:p w14:paraId="6D2B0B22" w14:textId="77777777" w:rsidR="00D91945" w:rsidRPr="00934E91" w:rsidRDefault="00D91945" w:rsidP="00D91945">
      <w:pPr>
        <w:shd w:val="clear" w:color="auto" w:fill="FFFFFF"/>
        <w:ind w:firstLine="720"/>
        <w:textAlignment w:val="top"/>
        <w:rPr>
          <w:rFonts w:ascii="Times New Roman" w:eastAsia="Times New Roman" w:hAnsi="Times New Roman" w:cs="Times New Roman"/>
        </w:rPr>
      </w:pPr>
      <w:r w:rsidRPr="00934E91">
        <w:rPr>
          <w:rFonts w:ascii="Times New Roman" w:eastAsia="Times New Roman" w:hAnsi="Times New Roman" w:cs="Times New Roman"/>
        </w:rPr>
        <w:t>Researchers are required to protect the privacy of research participants whenever possible. Even if pressured by authorities, such as police or courts, researchers are not ethically allowed to release confidential information. Researchers also must make results available to other sociologists, must make public all sources of financial support, and must not accept funding from any organization that might cause a conflict of interest or seek to influence the research results for its own purposes. The American Sociological Association, or ASA, maintains a </w:t>
      </w:r>
      <w:r w:rsidRPr="00934E91">
        <w:rPr>
          <w:rFonts w:ascii="Times New Roman" w:eastAsia="Times New Roman" w:hAnsi="Times New Roman" w:cs="Times New Roman"/>
          <w:b/>
          <w:bCs/>
        </w:rPr>
        <w:t>code of ethics</w:t>
      </w:r>
      <w:r w:rsidRPr="00934E91">
        <w:rPr>
          <w:rFonts w:ascii="Times New Roman" w:eastAsia="Times New Roman" w:hAnsi="Times New Roman" w:cs="Times New Roman"/>
        </w:rPr>
        <w:t>—formal guidelines for conducting sociological research—consisting of principles and ethical standards to be used in the discipline. It also describes procedures for filing, investigating, and resolving complaints of unethical conduct. The ASA’s ethical considerations shape not only the study but also the publication of results.</w:t>
      </w:r>
    </w:p>
    <w:p w14:paraId="2756F5FD" w14:textId="77777777" w:rsidR="00D91945" w:rsidRPr="00934E91" w:rsidRDefault="00D91945" w:rsidP="00D91945">
      <w:pPr>
        <w:shd w:val="clear" w:color="auto" w:fill="FFFFFF"/>
        <w:ind w:firstLine="720"/>
        <w:textAlignment w:val="top"/>
        <w:rPr>
          <w:rFonts w:ascii="Times New Roman" w:eastAsia="Times New Roman" w:hAnsi="Times New Roman" w:cs="Times New Roman"/>
        </w:rPr>
      </w:pPr>
      <w:r w:rsidRPr="00934E91">
        <w:rPr>
          <w:rFonts w:ascii="Times New Roman" w:eastAsia="Times New Roman" w:hAnsi="Times New Roman" w:cs="Times New Roman"/>
        </w:rPr>
        <w:t>Pioneer German sociologist Max Weber (1864–1920) identified another crucial ethical concern. Weber understood that personal values could distort the framework for disclosing study results. While he accepted that some aspects of research design might be influenced by personal values, he declared it was entirely inappropriate to allow personal values to shape the interpretation of the responses. Sociologists, he stated, must establish </w:t>
      </w:r>
      <w:r w:rsidRPr="00934E91">
        <w:rPr>
          <w:rFonts w:ascii="Times New Roman" w:eastAsia="Times New Roman" w:hAnsi="Times New Roman" w:cs="Times New Roman"/>
          <w:b/>
          <w:bCs/>
        </w:rPr>
        <w:t>value neutrality</w:t>
      </w:r>
      <w:r w:rsidRPr="00934E91">
        <w:rPr>
          <w:rFonts w:ascii="Times New Roman" w:eastAsia="Times New Roman" w:hAnsi="Times New Roman" w:cs="Times New Roman"/>
        </w:rPr>
        <w:t xml:space="preserve">, a practice of remaining impartial, without bias or judgment, </w:t>
      </w:r>
      <w:proofErr w:type="gramStart"/>
      <w:r w:rsidRPr="00934E91">
        <w:rPr>
          <w:rFonts w:ascii="Times New Roman" w:eastAsia="Times New Roman" w:hAnsi="Times New Roman" w:cs="Times New Roman"/>
        </w:rPr>
        <w:t>during the course of</w:t>
      </w:r>
      <w:proofErr w:type="gramEnd"/>
      <w:r w:rsidRPr="00934E91">
        <w:rPr>
          <w:rFonts w:ascii="Times New Roman" w:eastAsia="Times New Roman" w:hAnsi="Times New Roman" w:cs="Times New Roman"/>
        </w:rPr>
        <w:t xml:space="preserve"> a study and in publishing results (1949). Sociologists are obligated to disclose research findings without omitting or distorting significant data.</w:t>
      </w:r>
    </w:p>
    <w:p w14:paraId="4E27AE45" w14:textId="58BA1C12" w:rsidR="00D91945" w:rsidRPr="00934E91" w:rsidRDefault="00D91945" w:rsidP="00D91945">
      <w:pPr>
        <w:shd w:val="clear" w:color="auto" w:fill="FFFFFF"/>
        <w:ind w:firstLine="720"/>
        <w:textAlignment w:val="top"/>
        <w:rPr>
          <w:rFonts w:ascii="Times New Roman" w:eastAsia="Times New Roman" w:hAnsi="Times New Roman" w:cs="Times New Roman"/>
        </w:rPr>
      </w:pPr>
      <w:r w:rsidRPr="00934E91">
        <w:rPr>
          <w:rFonts w:ascii="Times New Roman" w:eastAsia="Times New Roman" w:hAnsi="Times New Roman" w:cs="Times New Roman"/>
        </w:rPr>
        <w:t xml:space="preserve">Many sociologists believe it is impossible to set aside personal values and retain complete objectivity. Instead, they caution readers to understand that sociological studies may, by necessity, contain a certain amount of value bias. It does not discredit the results but allows readers to view them as one form of truth rather than a singular fact. Some sociologists attempt to remain uncritical and as objective as possible when studying cultural institutions. Value neutrality does not mean having no opinions. It means striving to overcome personal biases, particularly subconscious biases, when analyzing data. It means avoiding skewing data in order to match a predetermined outcome that aligns with a </w:t>
      </w:r>
      <w:proofErr w:type="gramStart"/>
      <w:r w:rsidRPr="00934E91">
        <w:rPr>
          <w:rFonts w:ascii="Times New Roman" w:eastAsia="Times New Roman" w:hAnsi="Times New Roman" w:cs="Times New Roman"/>
        </w:rPr>
        <w:t>particular agenda</w:t>
      </w:r>
      <w:proofErr w:type="gramEnd"/>
      <w:r w:rsidRPr="00934E91">
        <w:rPr>
          <w:rFonts w:ascii="Times New Roman" w:eastAsia="Times New Roman" w:hAnsi="Times New Roman" w:cs="Times New Roman"/>
        </w:rPr>
        <w:t>, such as a political or moral point of view. Investigators are ethically obligated to report results, even when they contradict personal views, predicted outcomes, or widely accepted beliefs.</w:t>
      </w:r>
      <w:r w:rsidRPr="00934E91">
        <w:rPr>
          <w:rStyle w:val="FootnoteReference"/>
          <w:rFonts w:ascii="Times New Roman" w:eastAsia="Times New Roman" w:hAnsi="Times New Roman" w:cs="Times New Roman"/>
        </w:rPr>
        <w:footnoteReference w:id="16"/>
      </w:r>
    </w:p>
    <w:p w14:paraId="63557238" w14:textId="77777777" w:rsidR="00D91945" w:rsidRPr="00934E91" w:rsidRDefault="00D91945" w:rsidP="00D91945">
      <w:pPr>
        <w:shd w:val="clear" w:color="auto" w:fill="FFFFFF"/>
        <w:ind w:firstLine="720"/>
        <w:textAlignment w:val="top"/>
        <w:rPr>
          <w:rFonts w:ascii="Times New Roman" w:eastAsia="Times New Roman" w:hAnsi="Times New Roman" w:cs="Times New Roman"/>
        </w:rPr>
      </w:pPr>
      <w:r w:rsidRPr="00934E91">
        <w:rPr>
          <w:rFonts w:ascii="Times New Roman" w:eastAsia="Times New Roman" w:hAnsi="Times New Roman" w:cs="Times New Roman"/>
        </w:rPr>
        <w:t xml:space="preserve">The research that ethnographers do requires that much of their time is spent interacting with other people. Researchers observe, ask questions or even work alongside other people or researchers. Researching people is not the same as researching using journal articles. The researcher must be prepared to protect the subjects of their research and make sure they do not do anything to harm them. </w:t>
      </w:r>
    </w:p>
    <w:p w14:paraId="600BB06C" w14:textId="77777777" w:rsidR="00D91945" w:rsidRPr="00934E91" w:rsidRDefault="00D91945" w:rsidP="00D91945">
      <w:pPr>
        <w:shd w:val="clear" w:color="auto" w:fill="FFFFFF"/>
        <w:ind w:firstLine="720"/>
        <w:textAlignment w:val="top"/>
        <w:rPr>
          <w:rFonts w:ascii="Times New Roman" w:eastAsia="Times New Roman" w:hAnsi="Times New Roman" w:cs="Times New Roman"/>
        </w:rPr>
      </w:pPr>
    </w:p>
    <w:p w14:paraId="3B7C1685" w14:textId="77777777" w:rsidR="00D91945" w:rsidRPr="00934E91" w:rsidRDefault="00D91945" w:rsidP="00D91945">
      <w:pPr>
        <w:pStyle w:val="Heading2"/>
        <w:spacing w:before="0"/>
        <w:rPr>
          <w:rFonts w:ascii="Times New Roman" w:eastAsia="Times New Roman" w:hAnsi="Times New Roman" w:cs="Times New Roman"/>
          <w:color w:val="auto"/>
          <w:sz w:val="24"/>
          <w:szCs w:val="24"/>
        </w:rPr>
      </w:pPr>
      <w:r w:rsidRPr="00934E91">
        <w:rPr>
          <w:rFonts w:ascii="Times New Roman" w:eastAsia="Times New Roman" w:hAnsi="Times New Roman" w:cs="Times New Roman"/>
          <w:color w:val="auto"/>
          <w:sz w:val="24"/>
          <w:szCs w:val="24"/>
        </w:rPr>
        <w:t>Questionable Research</w:t>
      </w:r>
    </w:p>
    <w:p w14:paraId="2278CCC0" w14:textId="77777777" w:rsidR="00D91945" w:rsidRPr="00934E91" w:rsidRDefault="00D91945" w:rsidP="00D91945">
      <w:pPr>
        <w:ind w:firstLine="720"/>
        <w:rPr>
          <w:rFonts w:ascii="Times New Roman" w:eastAsia="Times New Roman" w:hAnsi="Times New Roman" w:cs="Times New Roman"/>
        </w:rPr>
      </w:pPr>
      <w:r w:rsidRPr="00934E91">
        <w:rPr>
          <w:rFonts w:ascii="Times New Roman" w:eastAsia="Times New Roman" w:hAnsi="Times New Roman" w:cs="Times New Roman"/>
        </w:rPr>
        <w:t xml:space="preserve">Although researchers now do </w:t>
      </w:r>
      <w:proofErr w:type="gramStart"/>
      <w:r w:rsidRPr="00934E91">
        <w:rPr>
          <w:rFonts w:ascii="Times New Roman" w:eastAsia="Times New Roman" w:hAnsi="Times New Roman" w:cs="Times New Roman"/>
        </w:rPr>
        <w:t>everything</w:t>
      </w:r>
      <w:proofErr w:type="gramEnd"/>
      <w:r w:rsidRPr="00934E91">
        <w:rPr>
          <w:rFonts w:ascii="Times New Roman" w:eastAsia="Times New Roman" w:hAnsi="Times New Roman" w:cs="Times New Roman"/>
        </w:rPr>
        <w:t xml:space="preserve"> they can to protect their research subjects and ensure that they are informed of the research being conducted, there was research conducted before human subjects had these kinds of protections and researchers had these guidelines. </w:t>
      </w:r>
      <w:r w:rsidRPr="00934E91">
        <w:rPr>
          <w:rStyle w:val="FootnoteReference"/>
          <w:rFonts w:ascii="Times New Roman" w:eastAsia="Times New Roman" w:hAnsi="Times New Roman" w:cs="Times New Roman"/>
        </w:rPr>
        <w:footnoteReference w:id="17"/>
      </w:r>
      <w:r w:rsidRPr="00934E91">
        <w:rPr>
          <w:rFonts w:ascii="Times New Roman" w:eastAsia="Times New Roman" w:hAnsi="Times New Roman" w:cs="Times New Roman"/>
        </w:rPr>
        <w:t>There are several important examples of studies that would not meet the baseline level for human subject research today.</w:t>
      </w:r>
    </w:p>
    <w:p w14:paraId="0F53B2D3"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The earliest documented cases of research using human subjects are of medical vaccination trials (Rothman, 1987). One such case took place in the late 1700s, when scientist Edward Jenner exposed an 8-year-old boy to smallpox in order to identify a vaccine for the devastating disease. Medical research on human subjects continued without much law or policy intervention until the mid-1900s when, at the end of World War II, a number of Nazi doctors and scientists were put on trial for conducting human experimentation during the course of which they tortured and murdered many concentration camp inmates (</w:t>
      </w:r>
      <w:proofErr w:type="spellStart"/>
      <w:r w:rsidRPr="00934E91">
        <w:rPr>
          <w:rFonts w:ascii="Times New Roman" w:hAnsi="Times New Roman" w:cs="Times New Roman"/>
        </w:rPr>
        <w:t>Faden</w:t>
      </w:r>
      <w:proofErr w:type="spellEnd"/>
      <w:r w:rsidRPr="00934E91">
        <w:rPr>
          <w:rFonts w:ascii="Times New Roman" w:hAnsi="Times New Roman" w:cs="Times New Roman"/>
        </w:rPr>
        <w:t xml:space="preserve"> &amp; Beauchamp, 1986). The trials, conducted in Nuremberg, Germany, resulted in the creation of the Nuremberg Code, a 10-point set of research principles designed to guide doctors and scientists who conduct research on human subjects. </w:t>
      </w:r>
      <w:r w:rsidRPr="00934E91">
        <w:rPr>
          <w:rStyle w:val="FootnoteReference"/>
          <w:rFonts w:ascii="Times New Roman" w:hAnsi="Times New Roman" w:cs="Times New Roman"/>
        </w:rPr>
        <w:footnoteReference w:id="18"/>
      </w:r>
    </w:p>
    <w:p w14:paraId="190010A9" w14:textId="77777777" w:rsidR="00D91945" w:rsidRPr="00934E91" w:rsidRDefault="00D91945" w:rsidP="00D91945">
      <w:pPr>
        <w:rPr>
          <w:rFonts w:ascii="Times New Roman" w:hAnsi="Times New Roman" w:cs="Times New Roman"/>
        </w:rPr>
      </w:pPr>
    </w:p>
    <w:p w14:paraId="328BEC3A" w14:textId="77777777" w:rsidR="00D91945" w:rsidRPr="00B72CDA" w:rsidRDefault="00D91945" w:rsidP="00D91945">
      <w:pPr>
        <w:pStyle w:val="Heading3"/>
        <w:spacing w:before="0"/>
        <w:rPr>
          <w:b/>
        </w:rPr>
      </w:pPr>
      <w:r w:rsidRPr="00B72CDA">
        <w:t>Medical Research</w:t>
      </w:r>
    </w:p>
    <w:p w14:paraId="3CF235D4" w14:textId="77777777" w:rsidR="00D91945" w:rsidRPr="00934E91" w:rsidRDefault="00D91945" w:rsidP="00D91945">
      <w:pPr>
        <w:ind w:firstLine="720"/>
        <w:rPr>
          <w:rFonts w:ascii="Times New Roman" w:eastAsia="Times New Roman" w:hAnsi="Times New Roman" w:cs="Times New Roman"/>
        </w:rPr>
      </w:pPr>
      <w:r w:rsidRPr="00934E91">
        <w:rPr>
          <w:rFonts w:ascii="Times New Roman" w:hAnsi="Times New Roman" w:cs="Times New Roman"/>
        </w:rPr>
        <w:t xml:space="preserve">Just prior to that formulation of that code, in 1932, the U.S. Public Health Service recruited several hundred poor, illiterate, and </w:t>
      </w:r>
      <w:r w:rsidRPr="00934E91">
        <w:rPr>
          <w:rFonts w:ascii="Times New Roman" w:eastAsia="Times New Roman" w:hAnsi="Times New Roman" w:cs="Times New Roman"/>
        </w:rPr>
        <w:t>rural</w:t>
      </w:r>
      <w:r w:rsidRPr="00934E91">
        <w:rPr>
          <w:rFonts w:ascii="Times New Roman" w:hAnsi="Times New Roman" w:cs="Times New Roman"/>
        </w:rPr>
        <w:t xml:space="preserve"> African American </w:t>
      </w:r>
      <w:r w:rsidRPr="00934E91">
        <w:rPr>
          <w:rFonts w:ascii="Times New Roman" w:eastAsia="Times New Roman" w:hAnsi="Times New Roman" w:cs="Times New Roman"/>
        </w:rPr>
        <w:t>sharecroppers from Tuskegee</w:t>
      </w:r>
      <w:r w:rsidRPr="00934E91">
        <w:rPr>
          <w:rFonts w:ascii="Times New Roman" w:hAnsi="Times New Roman" w:cs="Times New Roman"/>
        </w:rPr>
        <w:t xml:space="preserve">, Alabama. The men had syphilis, for which no cure then existed, and were studied to determine its effects. </w:t>
      </w:r>
      <w:r w:rsidRPr="00934E91">
        <w:rPr>
          <w:rFonts w:ascii="Times New Roman" w:eastAsia="Times New Roman" w:hAnsi="Times New Roman" w:cs="Times New Roman"/>
        </w:rPr>
        <w:t>In exchange for free medical care, meals, and burial insurance, 600 men agreed to participate in the study. A little more than half of the men tested positive for syphilis, and they served as the experimental group (given that the researchers could not randomly assign participants to groups, this represents a quasi-experiment). The remaining syphilis-free individuals served as the control group. However, those individuals over the course of the study who tested positive for syphilis were never informed that they had the disease.</w:t>
      </w:r>
    </w:p>
    <w:p w14:paraId="3307C7CE" w14:textId="77777777" w:rsidR="00D91945" w:rsidRPr="00934E91" w:rsidRDefault="00D91945" w:rsidP="00D91945">
      <w:pPr>
        <w:ind w:firstLine="720"/>
        <w:rPr>
          <w:rFonts w:ascii="Times New Roman" w:eastAsia="Times New Roman" w:hAnsi="Times New Roman" w:cs="Times New Roman"/>
        </w:rPr>
      </w:pPr>
      <w:r w:rsidRPr="00934E91">
        <w:rPr>
          <w:rFonts w:ascii="Times New Roman" w:eastAsia="Times New Roman" w:hAnsi="Times New Roman" w:cs="Times New Roman"/>
        </w:rPr>
        <w:t>While there was no treatment for syphilis when the study began, by 1947 penicillin was recognized as an effective treatment for the disease. Despite this, no penicillin was administered to the participants in this study, and the participants were not allowed to seek treatment at any other facilities if they continued in the study</w:t>
      </w:r>
      <w:r w:rsidRPr="00934E91">
        <w:rPr>
          <w:rFonts w:ascii="Times New Roman" w:hAnsi="Times New Roman" w:cs="Times New Roman"/>
        </w:rPr>
        <w:t xml:space="preserve"> because doing so would end the research</w:t>
      </w:r>
      <w:r w:rsidRPr="00934E91">
        <w:rPr>
          <w:rFonts w:ascii="Times New Roman" w:eastAsia="Times New Roman" w:hAnsi="Times New Roman" w:cs="Times New Roman"/>
        </w:rPr>
        <w:t xml:space="preserve">. Over the course of 40 years, many of the participants unknowingly spread syphilis to their wives (and subsequently their children born from their wives) and eventually died because they never received treatment for the disease. This study not discontinued until 1972 when the experiment was discovered by the national press (Tuskegee University, n.d.). </w:t>
      </w:r>
      <w:r w:rsidRPr="00934E91">
        <w:rPr>
          <w:rFonts w:ascii="Times New Roman" w:hAnsi="Times New Roman" w:cs="Times New Roman"/>
        </w:rPr>
        <w:t xml:space="preserve">Several observers likened it to those experiments conducted by Nazi scientists. If the subjects had been white and middle class, </w:t>
      </w:r>
      <w:r w:rsidRPr="00934E91">
        <w:rPr>
          <w:rFonts w:ascii="Times New Roman" w:hAnsi="Times New Roman" w:cs="Times New Roman"/>
        </w:rPr>
        <w:lastRenderedPageBreak/>
        <w:t>they said, the government would have ended the study once it learned that penicillin could cure syphilis (Jones, 1981)</w:t>
      </w:r>
      <w:r w:rsidRPr="00934E91">
        <w:rPr>
          <w:rFonts w:ascii="Times New Roman" w:eastAsia="Times New Roman" w:hAnsi="Times New Roman" w:cs="Times New Roman"/>
        </w:rPr>
        <w:t xml:space="preserve">. </w:t>
      </w:r>
      <w:r w:rsidRPr="00934E91">
        <w:rPr>
          <w:rStyle w:val="FootnoteReference"/>
          <w:rFonts w:ascii="Times New Roman" w:eastAsia="Times New Roman" w:hAnsi="Times New Roman" w:cs="Times New Roman"/>
        </w:rPr>
        <w:footnoteReference w:id="19"/>
      </w:r>
      <w:r w:rsidRPr="00934E91">
        <w:rPr>
          <w:rStyle w:val="FootnoteReference"/>
          <w:rFonts w:ascii="Times New Roman" w:eastAsia="Times New Roman" w:hAnsi="Times New Roman" w:cs="Times New Roman"/>
        </w:rPr>
        <w:footnoteReference w:id="20"/>
      </w:r>
    </w:p>
    <w:p w14:paraId="4C88EFBE" w14:textId="77777777" w:rsidR="00D91945" w:rsidRPr="00934E91" w:rsidRDefault="00D91945" w:rsidP="00D91945">
      <w:pPr>
        <w:shd w:val="clear" w:color="auto" w:fill="FFFFFF"/>
        <w:jc w:val="center"/>
        <w:rPr>
          <w:rFonts w:ascii="Times New Roman" w:hAnsi="Times New Roman" w:cs="Times New Roman"/>
        </w:rPr>
      </w:pPr>
      <w:r w:rsidRPr="00934E91">
        <w:rPr>
          <w:rFonts w:ascii="Times New Roman" w:hAnsi="Times New Roman" w:cs="Times New Roman"/>
          <w:noProof/>
        </w:rPr>
        <w:drawing>
          <wp:inline distT="0" distB="0" distL="0" distR="0" wp14:anchorId="60686344" wp14:editId="1FB522BD">
            <wp:extent cx="4423899" cy="2898162"/>
            <wp:effectExtent l="0" t="0" r="0" b="0"/>
            <wp:docPr id="5" name="Picture 5" descr="A line of African American men in Tuskeee">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line of African American men in Tuskeee">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42019" cy="2910033"/>
                    </a:xfrm>
                    <a:prstGeom prst="rect">
                      <a:avLst/>
                    </a:prstGeom>
                    <a:noFill/>
                    <a:ln>
                      <a:noFill/>
                    </a:ln>
                  </pic:spPr>
                </pic:pic>
              </a:graphicData>
            </a:graphic>
          </wp:inline>
        </w:drawing>
      </w:r>
    </w:p>
    <w:p w14:paraId="3C6237EC" w14:textId="77777777" w:rsidR="00D91945" w:rsidRPr="00934E91" w:rsidRDefault="00D91945" w:rsidP="00D91945">
      <w:pPr>
        <w:pStyle w:val="para"/>
        <w:shd w:val="clear" w:color="auto" w:fill="FFFFFF"/>
        <w:spacing w:before="0" w:beforeAutospacing="0" w:after="0" w:afterAutospacing="0"/>
        <w:jc w:val="center"/>
      </w:pPr>
      <w:r w:rsidRPr="00934E91">
        <w:t>In a study that began in 1932 of syphilis among African American men in Tuskegee, Alabama, government physicians decided not to give penicillin to the men after it was found that this drug would cure syphilis.</w:t>
      </w:r>
    </w:p>
    <w:p w14:paraId="1F0821CB" w14:textId="77777777" w:rsidR="00D91945" w:rsidRPr="00934E91" w:rsidRDefault="00605712" w:rsidP="00D91945">
      <w:pPr>
        <w:pStyle w:val="para"/>
        <w:shd w:val="clear" w:color="auto" w:fill="FFFFFF"/>
        <w:spacing w:before="0" w:beforeAutospacing="0" w:after="0" w:afterAutospacing="0"/>
        <w:jc w:val="center"/>
      </w:pPr>
      <w:hyperlink r:id="rId46" w:history="1">
        <w:r w:rsidR="00D91945" w:rsidRPr="00934E91">
          <w:rPr>
            <w:rStyle w:val="Hyperlink"/>
            <w:rFonts w:eastAsiaTheme="majorEastAsia"/>
            <w:color w:val="auto"/>
          </w:rPr>
          <w:t>Wikimedia Commons</w:t>
        </w:r>
      </w:hyperlink>
      <w:r w:rsidR="00D91945" w:rsidRPr="00934E91">
        <w:t> – public domain.</w:t>
      </w:r>
    </w:p>
    <w:p w14:paraId="1605200C" w14:textId="77777777" w:rsidR="00D91945" w:rsidRPr="00934E91" w:rsidRDefault="00D91945" w:rsidP="00D91945">
      <w:pPr>
        <w:pStyle w:val="para"/>
        <w:shd w:val="clear" w:color="auto" w:fill="FFFFFF"/>
        <w:spacing w:before="0" w:beforeAutospacing="0" w:after="0" w:afterAutospacing="0"/>
        <w:jc w:val="center"/>
      </w:pPr>
    </w:p>
    <w:p w14:paraId="5DAB21C8" w14:textId="77777777" w:rsidR="00D91945" w:rsidRPr="00934E91" w:rsidRDefault="00D91945" w:rsidP="00D91945">
      <w:pPr>
        <w:rPr>
          <w:rFonts w:ascii="Times New Roman" w:eastAsia="Times New Roman" w:hAnsi="Times New Roman" w:cs="Times New Roman"/>
        </w:rPr>
      </w:pPr>
      <w:r w:rsidRPr="00934E91">
        <w:rPr>
          <w:rFonts w:ascii="Times New Roman" w:eastAsia="Times New Roman" w:hAnsi="Times New Roman" w:cs="Times New Roman"/>
          <w:noProof/>
        </w:rPr>
        <w:lastRenderedPageBreak/>
        <w:drawing>
          <wp:inline distT="0" distB="0" distL="0" distR="0" wp14:anchorId="030269E1" wp14:editId="0EA49F94">
            <wp:extent cx="4230517" cy="3071218"/>
            <wp:effectExtent l="0" t="0" r="0" b="0"/>
            <wp:docPr id="6" name="Picture 6" descr="A photograph shows a person administering an in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213" descr="A photograph shows a person administering an injectio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37835" cy="3076531"/>
                    </a:xfrm>
                    <a:prstGeom prst="rect">
                      <a:avLst/>
                    </a:prstGeom>
                    <a:noFill/>
                    <a:ln>
                      <a:noFill/>
                    </a:ln>
                  </pic:spPr>
                </pic:pic>
              </a:graphicData>
            </a:graphic>
          </wp:inline>
        </w:drawing>
      </w:r>
    </w:p>
    <w:p w14:paraId="093BE30E" w14:textId="77777777" w:rsidR="00D91945" w:rsidRPr="00934E91" w:rsidRDefault="00D91945" w:rsidP="00D91945">
      <w:pPr>
        <w:rPr>
          <w:rFonts w:ascii="Times New Roman" w:eastAsia="Times New Roman" w:hAnsi="Times New Roman" w:cs="Times New Roman"/>
        </w:rPr>
      </w:pPr>
      <w:r w:rsidRPr="00934E91">
        <w:rPr>
          <w:rFonts w:ascii="Times New Roman" w:eastAsia="Times New Roman" w:hAnsi="Times New Roman" w:cs="Times New Roman"/>
        </w:rPr>
        <w:t>A participant in the Tuskegee Syphilis Study receives an injection.</w:t>
      </w:r>
    </w:p>
    <w:p w14:paraId="59824B0E" w14:textId="77777777" w:rsidR="00D91945" w:rsidRPr="00934E91" w:rsidRDefault="00D91945" w:rsidP="00D91945">
      <w:pPr>
        <w:rPr>
          <w:rFonts w:ascii="Times New Roman" w:eastAsia="Times New Roman" w:hAnsi="Times New Roman" w:cs="Times New Roman"/>
        </w:rPr>
      </w:pPr>
    </w:p>
    <w:p w14:paraId="7686300C" w14:textId="77777777" w:rsidR="00D91945" w:rsidRPr="00934E91" w:rsidRDefault="00D91945" w:rsidP="00D91945">
      <w:pPr>
        <w:pStyle w:val="para"/>
        <w:shd w:val="clear" w:color="auto" w:fill="FFFFFF"/>
        <w:spacing w:before="0" w:beforeAutospacing="0" w:after="0" w:afterAutospacing="0"/>
        <w:ind w:firstLine="720"/>
      </w:pPr>
      <w:r w:rsidRPr="00934E91">
        <w:t xml:space="preserve">The hope of many of us is that this research ended here but there are several less </w:t>
      </w:r>
      <w:proofErr w:type="gramStart"/>
      <w:r w:rsidRPr="00934E91">
        <w:t>well known</w:t>
      </w:r>
      <w:proofErr w:type="gramEnd"/>
      <w:r w:rsidRPr="00934E91">
        <w:t xml:space="preserve"> examples of this same research project replicated in different context. The Guatemala syphilis studies, for example, were conducted on mental patients, sex workers, prisoners and soldiers between 1946 and 1948. In this case, the researchers </w:t>
      </w:r>
      <w:proofErr w:type="gramStart"/>
      <w:r w:rsidRPr="00934E91">
        <w:t>actually infected</w:t>
      </w:r>
      <w:proofErr w:type="gramEnd"/>
      <w:r w:rsidRPr="00934E91">
        <w:t xml:space="preserve"> some subjects</w:t>
      </w:r>
      <w:r>
        <w:t xml:space="preserve"> with the disease to study it</w:t>
      </w:r>
      <w:r w:rsidRPr="00934E91">
        <w:t xml:space="preserve">s effects. The doctors either used prostitutes who were already </w:t>
      </w:r>
      <w:proofErr w:type="gramStart"/>
      <w:r w:rsidRPr="00934E91">
        <w:t>infected</w:t>
      </w:r>
      <w:proofErr w:type="gramEnd"/>
      <w:r w:rsidRPr="00934E91">
        <w:t xml:space="preserve"> or the subjects were infected through a shot of the disease. The subjects ranged in age from children to seniors and many of the subjects died over the course of the research. The United States did not apologize for the research until 2010.</w:t>
      </w:r>
      <w:r w:rsidRPr="00934E91">
        <w:rPr>
          <w:rStyle w:val="FootnoteReference"/>
        </w:rPr>
        <w:footnoteReference w:id="21"/>
      </w:r>
    </w:p>
    <w:p w14:paraId="14EE4601" w14:textId="77777777" w:rsidR="00D91945" w:rsidRPr="00934E91" w:rsidRDefault="00D91945" w:rsidP="00D91945">
      <w:pPr>
        <w:pStyle w:val="para"/>
        <w:shd w:val="clear" w:color="auto" w:fill="FFFFFF"/>
        <w:spacing w:before="0" w:beforeAutospacing="0" w:after="0" w:afterAutospacing="0"/>
      </w:pPr>
    </w:p>
    <w:p w14:paraId="140061C4" w14:textId="77777777" w:rsidR="00D91945" w:rsidRPr="00B72CDA" w:rsidRDefault="00D91945" w:rsidP="00D91945">
      <w:pPr>
        <w:pStyle w:val="Heading3"/>
        <w:rPr>
          <w:b/>
        </w:rPr>
      </w:pPr>
      <w:r w:rsidRPr="00B72CDA">
        <w:t>Social Research</w:t>
      </w:r>
    </w:p>
    <w:p w14:paraId="6DB36807" w14:textId="77777777" w:rsidR="00D91945" w:rsidRPr="00934E91" w:rsidRDefault="00D91945" w:rsidP="00D91945">
      <w:pPr>
        <w:pStyle w:val="para"/>
        <w:shd w:val="clear" w:color="auto" w:fill="FFFFFF"/>
        <w:spacing w:before="0" w:beforeAutospacing="0" w:after="0" w:afterAutospacing="0"/>
        <w:ind w:firstLine="720"/>
      </w:pPr>
      <w:r w:rsidRPr="00934E91">
        <w:t xml:space="preserve">Fortunately, most sociological research does not have this potential for causing death or serious </w:t>
      </w:r>
      <w:proofErr w:type="gramStart"/>
      <w:r w:rsidRPr="00934E91">
        <w:t>illness</w:t>
      </w:r>
      <w:proofErr w:type="gramEnd"/>
      <w:r w:rsidRPr="00934E91">
        <w:t xml:space="preserve"> but medical scientists are not the only researchers who have conducted questionable research on humans. In the 1960s, psychologist Stanley Milgram (1974) conducted a series of experiments designed to understand obedience to authority in which he tricked subjects into believing they were administering an electric shock to other subjects. In fact, the shocks weren’t real at all, but some, though not many, of Milgram’s research participants experienced extreme emotional distress after the experiment (Ogden, 2008). A reaction of emotional distress is understandable. The realization that one is willing to administer painful shocks to another human being just because someone who looks authoritative has told you to do so might indeed be traumatizing— even if you later learn that the shocks weren’t real.</w:t>
      </w:r>
    </w:p>
    <w:p w14:paraId="16AACDDB"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Around the same time that Milgram conducted his experiments, sociology graduate student Laud Humphreys (1970) was collecting data for his dissertation research on the tearoom trade, the practice of men engaging in anonymous sexual encounters in public restrooms. Humphreys wished to understand who these men were and why they participated in the trade. To conduct his research, Humphreys offered to serve as a “watch queen,” the person who keeps an </w:t>
      </w:r>
      <w:r w:rsidRPr="00934E91">
        <w:rPr>
          <w:rFonts w:ascii="Times New Roman" w:hAnsi="Times New Roman" w:cs="Times New Roman"/>
        </w:rPr>
        <w:lastRenderedPageBreak/>
        <w:t xml:space="preserve">eye out for police and gets the benefit of being able to watch the sexual encounters, in a local park restroom where the tearoom trade was known to occur. What Humphreys did not do was identify himself as a researcher to his research subjects. Instead, he watched his subjects for several months, getting to know several of them, learning more about the tearoom trade practice and, without the knowledge of his research subjects, jotting down their license plate numbers as they pulled into or out of the parking lot near the restroom. </w:t>
      </w:r>
      <w:proofErr w:type="spellStart"/>
      <w:r w:rsidRPr="00934E91">
        <w:rPr>
          <w:rFonts w:ascii="Times New Roman" w:hAnsi="Times New Roman" w:cs="Times New Roman"/>
        </w:rPr>
        <w:t>Some time</w:t>
      </w:r>
      <w:proofErr w:type="spellEnd"/>
      <w:r w:rsidRPr="00934E91">
        <w:rPr>
          <w:rFonts w:ascii="Times New Roman" w:hAnsi="Times New Roman" w:cs="Times New Roman"/>
        </w:rPr>
        <w:t xml:space="preserve"> after participating as a watch queen, with the help of several insiders who had access to motor vehicle registration information, Humphreys used those license plate numbers to obtain the names and home addresses of his research subjects. Then, disguised as a public health researcher, Humphreys visited his subjects in their homes and interviewed them about their lives and their health. </w:t>
      </w:r>
      <w:proofErr w:type="spellStart"/>
      <w:r w:rsidRPr="00934E91">
        <w:rPr>
          <w:rFonts w:ascii="Times New Roman" w:hAnsi="Times New Roman" w:cs="Times New Roman"/>
        </w:rPr>
        <w:t>Humphreys’s</w:t>
      </w:r>
      <w:proofErr w:type="spellEnd"/>
      <w:r w:rsidRPr="00934E91">
        <w:rPr>
          <w:rFonts w:ascii="Times New Roman" w:hAnsi="Times New Roman" w:cs="Times New Roman"/>
        </w:rPr>
        <w:t xml:space="preserve"> research dispelled a good number of myths and stereotypes about the tearoom trade and its participants. He learned, for example, that over half of his subjects were married to women and many of them did not identify as gay or bisexual.</w:t>
      </w:r>
    </w:p>
    <w:p w14:paraId="31A80108"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Once </w:t>
      </w:r>
      <w:proofErr w:type="spellStart"/>
      <w:r w:rsidRPr="00934E91">
        <w:rPr>
          <w:rFonts w:ascii="Times New Roman" w:hAnsi="Times New Roman" w:cs="Times New Roman"/>
        </w:rPr>
        <w:t>Humphreys’s</w:t>
      </w:r>
      <w:proofErr w:type="spellEnd"/>
      <w:r w:rsidRPr="00934E91">
        <w:rPr>
          <w:rFonts w:ascii="Times New Roman" w:hAnsi="Times New Roman" w:cs="Times New Roman"/>
        </w:rPr>
        <w:t xml:space="preserve"> work became public, the result was some major controversy at his home university (e.g., the chancellor tried to have his degree revoked), among sociologists in general, and among members of the public, as it raised public concerns about the purpose and conduct of sociological research. In addition, the Washington Post journalist Nicholas von Hoffman wrote the following warning about “sociological snoopers”: </w:t>
      </w:r>
    </w:p>
    <w:p w14:paraId="153C6BC5" w14:textId="77777777" w:rsidR="00D91945" w:rsidRPr="00934E91" w:rsidRDefault="00D91945" w:rsidP="00D91945">
      <w:pPr>
        <w:ind w:left="720" w:right="720"/>
        <w:rPr>
          <w:rFonts w:ascii="Times New Roman" w:hAnsi="Times New Roman" w:cs="Times New Roman"/>
        </w:rPr>
      </w:pPr>
      <w:r w:rsidRPr="00934E91">
        <w:rPr>
          <w:rFonts w:ascii="Times New Roman" w:hAnsi="Times New Roman" w:cs="Times New Roman"/>
        </w:rPr>
        <w:t>We’re so preoccupied with defending our privacy against insurance investigators, dope sleuths, counterespionage men, divorce detectives and credit checkers, that we overlook the social scientists behind the hunting blinds who’re also peeping into what we thought were our most private and secret lives. But they are there, studying us, taking notes, getting to know us, as indifferent as everybody else to the feeling that to be a complete human involves having an aspect of ourselves that’s unknown. (von Hoffman, 2008)</w:t>
      </w:r>
    </w:p>
    <w:p w14:paraId="49FF3291" w14:textId="77777777" w:rsidR="00D91945" w:rsidRPr="00934E91" w:rsidRDefault="00D91945" w:rsidP="00D91945">
      <w:pPr>
        <w:ind w:left="720" w:right="720"/>
        <w:rPr>
          <w:rFonts w:ascii="Times New Roman" w:hAnsi="Times New Roman" w:cs="Times New Roman"/>
        </w:rPr>
      </w:pPr>
    </w:p>
    <w:p w14:paraId="5E43C1E3" w14:textId="77777777" w:rsidR="00D91945" w:rsidRPr="00934E91" w:rsidRDefault="00D91945" w:rsidP="00D91945">
      <w:pPr>
        <w:rPr>
          <w:rFonts w:ascii="Times New Roman" w:hAnsi="Times New Roman" w:cs="Times New Roman"/>
        </w:rPr>
      </w:pPr>
      <w:r w:rsidRPr="00934E91">
        <w:rPr>
          <w:rFonts w:ascii="Times New Roman" w:hAnsi="Times New Roman" w:cs="Times New Roman"/>
        </w:rPr>
        <w:t xml:space="preserve">In the original version of his report, Humphreys defended the ethics of his actions. In 2008, years after </w:t>
      </w:r>
      <w:proofErr w:type="spellStart"/>
      <w:r w:rsidRPr="00934E91">
        <w:rPr>
          <w:rFonts w:ascii="Times New Roman" w:hAnsi="Times New Roman" w:cs="Times New Roman"/>
        </w:rPr>
        <w:t>Humphreys’s</w:t>
      </w:r>
      <w:proofErr w:type="spellEnd"/>
      <w:r w:rsidRPr="00934E91">
        <w:rPr>
          <w:rFonts w:ascii="Times New Roman" w:hAnsi="Times New Roman" w:cs="Times New Roman"/>
        </w:rPr>
        <w:t xml:space="preserve"> death, his book was reprinted with the addition of a retrospect on the ethical implications of his work. In his written reflections on his research and the fallout from it, Humphreys maintained that his tearoom observations constituted ethical research on the grounds that those interactions occurred in public places. But Humphreys added that he would conduct the second part of his research differently. Rather than trace license numbers and interview unwitting tearoom participants in their homes under the guise of public health research, Humphreys instead would spend more time in the field and work to cultivate a pool of informants. Those informants would know that he was a researcher and would be able to fully consent to being interviewed. In the end, Humphreys concluded that “there is no reason to believe that any research subjects have suffered because of my efforts, or that the resultant demystification of impersonal sex has harmed society” (p. 231).</w:t>
      </w:r>
    </w:p>
    <w:p w14:paraId="6871F9CE"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These and other studies (</w:t>
      </w:r>
      <w:proofErr w:type="spellStart"/>
      <w:r w:rsidRPr="00934E91">
        <w:rPr>
          <w:rFonts w:ascii="Times New Roman" w:hAnsi="Times New Roman" w:cs="Times New Roman"/>
        </w:rPr>
        <w:t>Reverby</w:t>
      </w:r>
      <w:proofErr w:type="spellEnd"/>
      <w:r w:rsidRPr="00934E91">
        <w:rPr>
          <w:rFonts w:ascii="Times New Roman" w:hAnsi="Times New Roman" w:cs="Times New Roman"/>
        </w:rPr>
        <w:t xml:space="preserve">, 2009) led to increasing public awareness of and concern about research on human subjects. In 1974, the US Congress enacted the National Research Act, which created the National Commission for the Protection of Human Subjects in Biomedical and Behavioral Research. The commission produced The Belmont Report, a document outlining basic ethical principles for research on human subjects (National Commission for the Protection of Human Subjects in Biomedical and Behavioral Research, 1979). The National Research Act also required that all institutions receiving federal support establish institutional review boards (IRBs) to protect the rights of human research subjects </w:t>
      </w:r>
      <w:r w:rsidRPr="00934E91">
        <w:rPr>
          <w:rFonts w:ascii="Times New Roman" w:hAnsi="Times New Roman" w:cs="Times New Roman"/>
        </w:rPr>
        <w:lastRenderedPageBreak/>
        <w:t xml:space="preserve">(1974). Since that time, many organizations that do not receive federal support but where research is conducted have also established review boards to evaluate the ethics of the research that they conduct. </w:t>
      </w:r>
      <w:r w:rsidRPr="00934E91">
        <w:rPr>
          <w:rStyle w:val="FootnoteReference"/>
          <w:rFonts w:ascii="Times New Roman" w:hAnsi="Times New Roman" w:cs="Times New Roman"/>
        </w:rPr>
        <w:footnoteReference w:id="22"/>
      </w:r>
    </w:p>
    <w:p w14:paraId="77893397"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As all these examples of ethical issues demonstrate, it is not always easy to decide whether a </w:t>
      </w:r>
      <w:proofErr w:type="gramStart"/>
      <w:r w:rsidRPr="00934E91">
        <w:rPr>
          <w:rFonts w:ascii="Times New Roman" w:hAnsi="Times New Roman" w:cs="Times New Roman"/>
        </w:rPr>
        <w:t>particular research</w:t>
      </w:r>
      <w:proofErr w:type="gramEnd"/>
      <w:r w:rsidRPr="00934E91">
        <w:rPr>
          <w:rFonts w:ascii="Times New Roman" w:hAnsi="Times New Roman" w:cs="Times New Roman"/>
        </w:rPr>
        <w:t xml:space="preserve"> project is ethically justifiable. Partly for this reason, colleges and universities have committees</w:t>
      </w:r>
      <w:r w:rsidRPr="00934E91">
        <w:rPr>
          <w:rStyle w:val="FootnoteReference"/>
          <w:rFonts w:ascii="Times New Roman" w:hAnsi="Times New Roman" w:cs="Times New Roman"/>
        </w:rPr>
        <w:footnoteReference w:id="23"/>
      </w:r>
      <w:r w:rsidRPr="00934E91">
        <w:rPr>
          <w:rFonts w:ascii="Times New Roman" w:hAnsi="Times New Roman" w:cs="Times New Roman"/>
        </w:rPr>
        <w:t xml:space="preserve"> that review proposed human-subject research to ensure that federal guidelines are followed as research conducted on human subjects can vary dramatically from those of research conducted on nonliving entities. The US Department of Health and Human Services defines a human subject as “a living individual about whom an investigator (whether professional or student) conducting research obtains (1) data through intervention or interaction with the individual, or (2) identifiable private information” (1993).</w:t>
      </w:r>
      <w:r w:rsidRPr="00934E91">
        <w:rPr>
          <w:rStyle w:val="FootnoteReference"/>
          <w:rFonts w:ascii="Times New Roman" w:hAnsi="Times New Roman" w:cs="Times New Roman"/>
        </w:rPr>
        <w:footnoteReference w:id="24"/>
      </w:r>
    </w:p>
    <w:p w14:paraId="658D2D4D"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In some states, human subjects also include deceased individuals and human fetal materials. Nonhuman research subjects, on the other hand, are objects or entities that investigators manipulate or analyze in the process of conducting research. In sociology, nonhuman research subjects typically include sources such as newspapers, historical documents, advertisements, television shows, buildings, and even garbage (to name just a few) that are analyzed for unobtrusive research projects. </w:t>
      </w:r>
    </w:p>
    <w:p w14:paraId="740FD024" w14:textId="77777777" w:rsidR="00D91945" w:rsidRPr="00934E91" w:rsidRDefault="00D91945" w:rsidP="00D91945">
      <w:pPr>
        <w:rPr>
          <w:rFonts w:ascii="Times New Roman" w:hAnsi="Times New Roman" w:cs="Times New Roman"/>
        </w:rPr>
      </w:pPr>
    </w:p>
    <w:p w14:paraId="1DB0E7DF" w14:textId="77777777" w:rsidR="00D91945" w:rsidRPr="00934E91" w:rsidRDefault="00D91945" w:rsidP="00D91945">
      <w:pPr>
        <w:pStyle w:val="Heading2"/>
        <w:rPr>
          <w:rFonts w:ascii="Times New Roman" w:hAnsi="Times New Roman" w:cs="Times New Roman"/>
          <w:color w:val="auto"/>
          <w:sz w:val="24"/>
          <w:szCs w:val="24"/>
        </w:rPr>
      </w:pPr>
      <w:r w:rsidRPr="00934E91">
        <w:rPr>
          <w:rFonts w:ascii="Times New Roman" w:hAnsi="Times New Roman" w:cs="Times New Roman"/>
          <w:color w:val="auto"/>
          <w:sz w:val="24"/>
          <w:szCs w:val="24"/>
        </w:rPr>
        <w:t>Institutional Review Board</w:t>
      </w:r>
    </w:p>
    <w:p w14:paraId="26BC13FB" w14:textId="77777777" w:rsidR="00D91945" w:rsidRPr="00934E91" w:rsidRDefault="00D91945" w:rsidP="00D91945">
      <w:pPr>
        <w:ind w:firstLine="720"/>
        <w:rPr>
          <w:rFonts w:ascii="Times New Roman" w:eastAsia="Times New Roman" w:hAnsi="Times New Roman" w:cs="Times New Roman"/>
        </w:rPr>
      </w:pPr>
      <w:r w:rsidRPr="00934E91">
        <w:rPr>
          <w:rFonts w:ascii="Times New Roman" w:hAnsi="Times New Roman" w:cs="Times New Roman"/>
        </w:rPr>
        <w:t xml:space="preserve">Unsurprisingly, research on human subjects is regulated much more heavily than research on nonhuman subjects. </w:t>
      </w:r>
      <w:r w:rsidRPr="00934E91">
        <w:rPr>
          <w:rFonts w:ascii="Times New Roman" w:eastAsia="Times New Roman" w:hAnsi="Times New Roman" w:cs="Times New Roman"/>
        </w:rPr>
        <w:t>Any experiment involving the participation of human subjects is governed by extensive, strict guidelines designed to ensure that the experiment does not result in harm. Any research institution that receives federal support for research involving human participants must have access to an </w:t>
      </w:r>
      <w:r w:rsidRPr="00934E91">
        <w:rPr>
          <w:rFonts w:ascii="Times New Roman" w:eastAsia="Times New Roman" w:hAnsi="Times New Roman" w:cs="Times New Roman"/>
          <w:b/>
          <w:bCs/>
        </w:rPr>
        <w:t>institutional review board (IRB)</w:t>
      </w:r>
      <w:r w:rsidRPr="00934E91">
        <w:rPr>
          <w:rFonts w:ascii="Times New Roman" w:eastAsia="Times New Roman" w:hAnsi="Times New Roman" w:cs="Times New Roman"/>
        </w:rPr>
        <w:t xml:space="preserve">. The IRB is a committee of individuals often made up of members of the institution’s administration, scientists, and community members. The purpose of the IRB is to review proposals for research that involves human participants. The IRB reviews these proposals with the principles mentioned above in mind, and generally, approval from the IRB is required </w:t>
      </w:r>
      <w:proofErr w:type="gramStart"/>
      <w:r w:rsidRPr="00934E91">
        <w:rPr>
          <w:rFonts w:ascii="Times New Roman" w:eastAsia="Times New Roman" w:hAnsi="Times New Roman" w:cs="Times New Roman"/>
        </w:rPr>
        <w:t>in order for</w:t>
      </w:r>
      <w:proofErr w:type="gramEnd"/>
      <w:r w:rsidRPr="00934E91">
        <w:rPr>
          <w:rFonts w:ascii="Times New Roman" w:eastAsia="Times New Roman" w:hAnsi="Times New Roman" w:cs="Times New Roman"/>
        </w:rPr>
        <w:t xml:space="preserve"> the experiment to proceed.</w:t>
      </w:r>
      <w:r w:rsidRPr="00934E91">
        <w:rPr>
          <w:rStyle w:val="FootnoteReference"/>
          <w:rFonts w:ascii="Times New Roman" w:eastAsia="Times New Roman" w:hAnsi="Times New Roman" w:cs="Times New Roman"/>
        </w:rPr>
        <w:footnoteReference w:id="25"/>
      </w:r>
    </w:p>
    <w:p w14:paraId="18573FFB" w14:textId="77777777" w:rsidR="00D91945" w:rsidRPr="00934E91" w:rsidRDefault="00D91945" w:rsidP="00D91945">
      <w:pPr>
        <w:rPr>
          <w:rFonts w:ascii="Times New Roman" w:hAnsi="Times New Roman" w:cs="Times New Roman"/>
        </w:rPr>
      </w:pPr>
      <w:r w:rsidRPr="00934E91">
        <w:rPr>
          <w:rFonts w:ascii="Times New Roman" w:hAnsi="Times New Roman" w:cs="Times New Roman"/>
        </w:rPr>
        <w:t xml:space="preserve">IRBs are tasked with ensuring that the rights and welfare of human research subjects will be protected at all institutions, including universities, hospitals, nonprofit research institutions, and other organizations, that receive federal support for research. </w:t>
      </w:r>
    </w:p>
    <w:p w14:paraId="663E31B6"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IRBs typically consist of members from a variety of disciplines, such as sociology, economics, education, social work, and communications (to name a few). Most IRBs also include representatives from the community in which they reside. For example, representatives from nearby prisons, hospitals, or treatment centers might sit on the IRBs of university campuses near them. The diversity of membership helps to ensure that the many and complex ethical issues that may arise from human </w:t>
      </w:r>
      <w:proofErr w:type="gramStart"/>
      <w:r w:rsidRPr="00934E91">
        <w:rPr>
          <w:rFonts w:ascii="Times New Roman" w:hAnsi="Times New Roman" w:cs="Times New Roman"/>
        </w:rPr>
        <w:t>subjects</w:t>
      </w:r>
      <w:proofErr w:type="gramEnd"/>
      <w:r w:rsidRPr="00934E91">
        <w:rPr>
          <w:rFonts w:ascii="Times New Roman" w:hAnsi="Times New Roman" w:cs="Times New Roman"/>
        </w:rPr>
        <w:t xml:space="preserve"> research will be considered fully and by a knowledgeable and experienced panel. Investigators conducting research on human subjects are required to </w:t>
      </w:r>
      <w:r w:rsidRPr="00934E91">
        <w:rPr>
          <w:rFonts w:ascii="Times New Roman" w:hAnsi="Times New Roman" w:cs="Times New Roman"/>
        </w:rPr>
        <w:lastRenderedPageBreak/>
        <w:t xml:space="preserve">submit proposals outlining their research plans to IRBs for review and approval prior to beginning their research. Even students who conduct research on human subjects must have their proposed work reviewed and approved by the IRB before beginning any research (though, on some campuses, some exceptions are made for classroom projects that will not be shared outside of the classroom). </w:t>
      </w:r>
    </w:p>
    <w:p w14:paraId="7B05EF6D"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It may surprise you to hear that IRBs are not always popular or appreciated by researchers. In some cases, the concern is that IRBs are most well versed in reviewing biomedical and experimental research, neither of which is particularly common within sociology. Much sociological research, especially qualitative research, is open ended in nature, a fact that can be problematic for IRBs. The members of IRBs often want to know in advance exactly who will be observed, where, when, and for how long, whether and how they will be approached, exactly what questions they will be asked, and what predictions the researcher has for her or his findings. Providing this level of detail for a yearlong participant observation within an activist group of 200-plus members, for example, would be extraordinarily frustrating for the researcher in the best case and most likely would prove to be impossible. Of course, IRBs do not intend to have researchers avoid studying controversial topics or avoid using certain methodologically sound data collection techniques, but unfortunately, that is sometimes the result. The solution is not to do away with review boards, which serve a necessary and important function, but instead to help educate IRB members about the variety of social scientific research methods and topics covered by sociologists and other social scientists. </w:t>
      </w:r>
      <w:r w:rsidRPr="00934E91">
        <w:rPr>
          <w:rStyle w:val="FootnoteReference"/>
          <w:rFonts w:ascii="Times New Roman" w:hAnsi="Times New Roman" w:cs="Times New Roman"/>
        </w:rPr>
        <w:footnoteReference w:id="26"/>
      </w:r>
    </w:p>
    <w:p w14:paraId="2DBF2069" w14:textId="77777777" w:rsidR="00D91945" w:rsidRPr="00934E91" w:rsidRDefault="00D91945" w:rsidP="00D91945">
      <w:pPr>
        <w:pStyle w:val="para"/>
        <w:shd w:val="clear" w:color="auto" w:fill="FFFFFF"/>
        <w:spacing w:before="0" w:beforeAutospacing="0" w:after="0" w:afterAutospacing="0"/>
      </w:pPr>
    </w:p>
    <w:p w14:paraId="184B20B5" w14:textId="77777777" w:rsidR="00D91945" w:rsidRPr="00934E91" w:rsidRDefault="00D91945" w:rsidP="00D91945">
      <w:pPr>
        <w:pStyle w:val="Heading3"/>
        <w:spacing w:before="0"/>
      </w:pPr>
      <w:r w:rsidRPr="00934E91">
        <w:t>Consent</w:t>
      </w:r>
    </w:p>
    <w:p w14:paraId="15327AF3" w14:textId="77777777" w:rsidR="00D91945" w:rsidRPr="00934E91" w:rsidRDefault="00D91945" w:rsidP="00D91945">
      <w:pPr>
        <w:ind w:firstLine="720"/>
        <w:rPr>
          <w:rFonts w:ascii="Times New Roman" w:hAnsi="Times New Roman" w:cs="Times New Roman"/>
        </w:rPr>
      </w:pPr>
      <w:r w:rsidRPr="00934E91">
        <w:rPr>
          <w:rFonts w:ascii="Times New Roman" w:eastAsia="Times New Roman" w:hAnsi="Times New Roman" w:cs="Times New Roman"/>
        </w:rPr>
        <w:t xml:space="preserve">An institution’s IRB requires several components in any experiment it approves. For one, each participant must sign an </w:t>
      </w:r>
      <w:r w:rsidRPr="00934E91">
        <w:rPr>
          <w:rFonts w:ascii="Times New Roman" w:eastAsia="Times New Roman" w:hAnsi="Times New Roman" w:cs="Times New Roman"/>
          <w:b/>
          <w:bCs/>
        </w:rPr>
        <w:t xml:space="preserve">informed consent </w:t>
      </w:r>
      <w:r w:rsidRPr="00934E91">
        <w:rPr>
          <w:rFonts w:ascii="Times New Roman" w:eastAsia="Times New Roman" w:hAnsi="Times New Roman" w:cs="Times New Roman"/>
        </w:rPr>
        <w:t>form before they can participate in the experiment.</w:t>
      </w:r>
      <w:r w:rsidRPr="00934E91">
        <w:rPr>
          <w:rStyle w:val="FootnoteReference"/>
          <w:rFonts w:ascii="Times New Roman" w:eastAsia="Times New Roman" w:hAnsi="Times New Roman" w:cs="Times New Roman"/>
        </w:rPr>
        <w:footnoteReference w:id="27"/>
      </w:r>
      <w:r w:rsidRPr="00934E91">
        <w:rPr>
          <w:rFonts w:ascii="Times New Roman" w:eastAsia="Times New Roman" w:hAnsi="Times New Roman" w:cs="Times New Roman"/>
        </w:rPr>
        <w:t xml:space="preserve"> </w:t>
      </w:r>
      <w:r w:rsidRPr="00934E91">
        <w:rPr>
          <w:rFonts w:ascii="Times New Roman" w:hAnsi="Times New Roman" w:cs="Times New Roman"/>
        </w:rPr>
        <w:t xml:space="preserve">A norm of voluntary participation is presumed in all sociological research projects. In other words, we cannot force anyone to participate in our research without that person’s knowledge or consent. Researchers must therefore design procedures to obtain subjects’ informed consent to participate in their research. Informed consent is defined as a subject’s voluntary agreement to participate in research based on a full understanding of the research and of the possible risks and benefits involved. Although it sounds simple, ensuring that one has </w:t>
      </w:r>
      <w:proofErr w:type="gramStart"/>
      <w:r w:rsidRPr="00934E91">
        <w:rPr>
          <w:rFonts w:ascii="Times New Roman" w:hAnsi="Times New Roman" w:cs="Times New Roman"/>
        </w:rPr>
        <w:t>actually obtained</w:t>
      </w:r>
      <w:proofErr w:type="gramEnd"/>
      <w:r w:rsidRPr="00934E91">
        <w:rPr>
          <w:rFonts w:ascii="Times New Roman" w:hAnsi="Times New Roman" w:cs="Times New Roman"/>
        </w:rPr>
        <w:t xml:space="preserve"> informed consent is a much more complex process than you might initially presume. </w:t>
      </w:r>
      <w:r w:rsidRPr="00934E91">
        <w:rPr>
          <w:rStyle w:val="FootnoteReference"/>
          <w:rFonts w:ascii="Times New Roman" w:hAnsi="Times New Roman" w:cs="Times New Roman"/>
        </w:rPr>
        <w:footnoteReference w:id="28"/>
      </w:r>
    </w:p>
    <w:p w14:paraId="4CA382C9"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An informed consent form summarizes the aims of the study and the possible risks of being a subject. If researchers want to study minors (under age 18), they normally must obtain a signature from a parent or legal guardian. Informed consent is a requirement for most “real” research these days, but ethical issues arise over the meaning of “consent.” For consent to have any real meaning, potential research subjects must have the right to refuse to take part in a research project without any penalties whatsoever. Otherwise, they may feel pressured to participate in the project without really wanting to do so. This result would violate what “consent” is supposed to mean in the research process. Sometimes subjects are promised a small reward (often between $5 and $20) for taking part in a research project, but they are still utterly </w:t>
      </w:r>
      <w:r w:rsidRPr="00934E91">
        <w:rPr>
          <w:rFonts w:ascii="Times New Roman" w:hAnsi="Times New Roman" w:cs="Times New Roman"/>
        </w:rPr>
        <w:lastRenderedPageBreak/>
        <w:t>free to refuse to do so, and this small inducement is not considered to be undue pressure to participate.</w:t>
      </w:r>
      <w:r w:rsidRPr="00934E91">
        <w:rPr>
          <w:rStyle w:val="FootnoteReference"/>
          <w:rFonts w:ascii="Times New Roman" w:hAnsi="Times New Roman" w:cs="Times New Roman"/>
        </w:rPr>
        <w:footnoteReference w:id="29"/>
      </w:r>
    </w:p>
    <w:p w14:paraId="37DD2FF0"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The first requirement for appropriate informed consent is that, in giving their informed consent, subjects may neither waive nor even appear to waive any of their legal rights. Subjects also cannot release a researcher, his or her sponsor, or institution from any legal liability should something go wrong </w:t>
      </w:r>
      <w:proofErr w:type="gramStart"/>
      <w:r w:rsidRPr="00934E91">
        <w:rPr>
          <w:rFonts w:ascii="Times New Roman" w:hAnsi="Times New Roman" w:cs="Times New Roman"/>
        </w:rPr>
        <w:t>during the course of</w:t>
      </w:r>
      <w:proofErr w:type="gramEnd"/>
      <w:r w:rsidRPr="00934E91">
        <w:rPr>
          <w:rFonts w:ascii="Times New Roman" w:hAnsi="Times New Roman" w:cs="Times New Roman"/>
        </w:rPr>
        <w:t xml:space="preserve"> their participation in the research (US Department of Health and Human Services, 2009). Because sociological research does not typically involve asking subjects to place themselves at risk of physical harm by, for example, taking untested drugs or consenting to new medical procedures, sociological researchers do not often worry about potential liability associated with their research projects. However, their research may involve other types of risks. For example, what if a sociological researcher fails to sufficiently conceal the identity of a subject who admits to participating in a local swinger’s club, enjoying a little sadomasochistic activity now and again or violating her marriage vows? While the law may not have been broken in any of these cases, the subject’s social standing, marriage, custody rights, or employment could be jeopardized were any of these tidbits to become public. This example might seem rather extreme, but the point remains: even sociologists conduct research that could come with some very real legal ramifications. </w:t>
      </w:r>
    </w:p>
    <w:p w14:paraId="3B84D8A3"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In addition to sharing some details about the purpose of the research, the researcher must also share possible benefits of participation and possible risks associated with participating in that research with their subjects.  It is also important for the researcher </w:t>
      </w:r>
      <w:proofErr w:type="spellStart"/>
      <w:r w:rsidRPr="00934E91">
        <w:rPr>
          <w:rFonts w:ascii="Times New Roman" w:hAnsi="Times New Roman" w:cs="Times New Roman"/>
        </w:rPr>
        <w:t>tot</w:t>
      </w:r>
      <w:proofErr w:type="spellEnd"/>
      <w:r w:rsidRPr="00934E91">
        <w:rPr>
          <w:rFonts w:ascii="Times New Roman" w:hAnsi="Times New Roman" w:cs="Times New Roman"/>
        </w:rPr>
        <w:t xml:space="preserve"> describe how they will protect subjects’ identities, how and for how long any data collected will be stored, and whom to contact for additional information about the study or about subjects’ rights. All this information is typically shared in the informed consent form. In some cases, subjects are asked to sign the consent form indicating that they have read it and fully understand its contents. In other cases, subjects are simply provided a copy of the consent form and researchers are responsible for making sure that subjects have read and understand the form before proceeding with any kind of data collection. </w:t>
      </w:r>
    </w:p>
    <w:p w14:paraId="7277C5DF"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Informed consent becomes a more difficult problem when a researcher wants to include certain vulnerable populations in a study. These subjects are members of vulnerable populations because they may be at risk of experiencing undue influence or coercion. The rules for consent are more stringent for vulnerable populations. Minors, for example, must have the consent of a legal guardian in order to participate in research. In some cases, the minors themselves are also asked to participate in the consent process by signing an assent form, a special, age-appropriate consent form designed specifically for them. </w:t>
      </w:r>
      <w:r w:rsidRPr="00934E91">
        <w:rPr>
          <w:rStyle w:val="FootnoteReference"/>
          <w:rFonts w:ascii="Times New Roman" w:hAnsi="Times New Roman" w:cs="Times New Roman"/>
        </w:rPr>
        <w:footnoteReference w:id="30"/>
      </w:r>
    </w:p>
    <w:p w14:paraId="77EEE1FC"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Another clear example of such a problem is when a study involves prisoners. When prisoners are asked to be interviewed or to fill out a questionnaire, they certainly can refuse to do so, but they may feel pressured to participate. They realize that if they do participate, they may be more likely to </w:t>
      </w:r>
      <w:proofErr w:type="gramStart"/>
      <w:r w:rsidRPr="00934E91">
        <w:rPr>
          <w:rFonts w:ascii="Times New Roman" w:hAnsi="Times New Roman" w:cs="Times New Roman"/>
        </w:rPr>
        <w:t>be seen as</w:t>
      </w:r>
      <w:proofErr w:type="gramEnd"/>
      <w:r w:rsidRPr="00934E91">
        <w:rPr>
          <w:rFonts w:ascii="Times New Roman" w:hAnsi="Times New Roman" w:cs="Times New Roman"/>
        </w:rPr>
        <w:t xml:space="preserve"> a “model” prisoner, which helps them win “good time” that reduces their sentence or helps them win a release decision from a parole board. Conversely, if they refuse to participate, they not only lose these advantages but also may be seen as a bit of a </w:t>
      </w:r>
      <w:r w:rsidRPr="00934E91">
        <w:rPr>
          <w:rFonts w:ascii="Times New Roman" w:hAnsi="Times New Roman" w:cs="Times New Roman"/>
        </w:rPr>
        <w:lastRenderedPageBreak/>
        <w:t>troublemaker and earn extra scrutiny from prison guards.</w:t>
      </w:r>
      <w:r w:rsidRPr="00934E91">
        <w:rPr>
          <w:rStyle w:val="FootnoteReference"/>
          <w:rFonts w:ascii="Times New Roman" w:hAnsi="Times New Roman" w:cs="Times New Roman"/>
        </w:rPr>
        <w:footnoteReference w:id="31"/>
      </w:r>
      <w:r w:rsidRPr="00934E91">
        <w:rPr>
          <w:rFonts w:ascii="Times New Roman" w:hAnsi="Times New Roman" w:cs="Times New Roman"/>
        </w:rPr>
        <w:t xml:space="preserve"> Concern about the vulnerability of these subjects comes from the very real possibility that prisoners and parolees could perceive that they will receive some highly desired reward, such as early release, if they participate in research. </w:t>
      </w:r>
    </w:p>
    <w:p w14:paraId="226088FE"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Beyond the protection of members of vulnerable populations, researchers also have concern that they may be underrepresented in research, and even denied potential benefits of participation in research, specifically because of concerns about their ability to consent. </w:t>
      </w:r>
      <w:proofErr w:type="gramStart"/>
      <w:r w:rsidRPr="00934E91">
        <w:rPr>
          <w:rFonts w:ascii="Times New Roman" w:hAnsi="Times New Roman" w:cs="Times New Roman"/>
        </w:rPr>
        <w:t>So</w:t>
      </w:r>
      <w:proofErr w:type="gramEnd"/>
      <w:r w:rsidRPr="00934E91">
        <w:rPr>
          <w:rFonts w:ascii="Times New Roman" w:hAnsi="Times New Roman" w:cs="Times New Roman"/>
        </w:rPr>
        <w:t xml:space="preserve"> on the one hand, researchers must take extra care to ensure that their procedures for obtaining consent from vulnerable populations are not coercive and that the procedures for receiving approval to conduct research on these groups may be more rigorous than that for nonvulnerable populations. On the other hand, researchers must work to avoid excluding members of vulnerable populations from participation simply on the grounds that they are vulnerable or that obtaining their consent may be more complex. While there is no easy solution to this double-edged sword, an awareness of the potential concerns associated with research on vulnerable populations is important for identifying whatever solution is most appropriate for a specific case. </w:t>
      </w:r>
      <w:r w:rsidRPr="00934E91">
        <w:rPr>
          <w:rStyle w:val="FootnoteReference"/>
          <w:rFonts w:ascii="Times New Roman" w:hAnsi="Times New Roman" w:cs="Times New Roman"/>
        </w:rPr>
        <w:footnoteReference w:id="32"/>
      </w:r>
    </w:p>
    <w:p w14:paraId="6C744945" w14:textId="77777777" w:rsidR="00D91945" w:rsidRPr="00934E91" w:rsidRDefault="00D91945" w:rsidP="00D91945">
      <w:pPr>
        <w:ind w:firstLine="720"/>
        <w:rPr>
          <w:rFonts w:ascii="Times New Roman" w:eastAsia="Times New Roman" w:hAnsi="Times New Roman" w:cs="Times New Roman"/>
        </w:rPr>
      </w:pPr>
      <w:r w:rsidRPr="00934E91">
        <w:rPr>
          <w:rFonts w:ascii="Times New Roman" w:eastAsia="Times New Roman" w:hAnsi="Times New Roman" w:cs="Times New Roman"/>
        </w:rPr>
        <w:t>While the informed consent form should be as honest as possible in describing exactly what participants will be doing, sometimes deception is necessary to prevent participants’ knowledge of the exact research question from affecting the results of the study. </w:t>
      </w:r>
      <w:r w:rsidRPr="00934E91">
        <w:rPr>
          <w:rFonts w:ascii="Times New Roman" w:eastAsia="Times New Roman" w:hAnsi="Times New Roman" w:cs="Times New Roman"/>
          <w:b/>
          <w:bCs/>
        </w:rPr>
        <w:t>Deception</w:t>
      </w:r>
      <w:r w:rsidRPr="00934E91">
        <w:rPr>
          <w:rFonts w:ascii="Times New Roman" w:eastAsia="Times New Roman" w:hAnsi="Times New Roman" w:cs="Times New Roman"/>
        </w:rPr>
        <w:t> involves purposely misleading experiment participants in order to maintain the integrity of the experiment, but not to the point where the deception could be considered harmful. For example, if we are interested in how our opinion of someone is affected by their attire, we might use deception in describing the experiment to prevent that knowledge from affecting participants’ responses. In cases where deception is involved, participants must receive a full </w:t>
      </w:r>
      <w:r w:rsidRPr="00934E91">
        <w:rPr>
          <w:rFonts w:ascii="Times New Roman" w:eastAsia="Times New Roman" w:hAnsi="Times New Roman" w:cs="Times New Roman"/>
          <w:b/>
          <w:bCs/>
        </w:rPr>
        <w:t>debriefing</w:t>
      </w:r>
      <w:r w:rsidRPr="00934E91">
        <w:rPr>
          <w:rFonts w:ascii="Times New Roman" w:eastAsia="Times New Roman" w:hAnsi="Times New Roman" w:cs="Times New Roman"/>
        </w:rPr>
        <w:t> upon conclusion of the study—complete, honest information about the purpose of the experiment, how the data collected will be used, the reasons why deception was necessary, and information about how to obtain additional information about the study.</w:t>
      </w:r>
      <w:r w:rsidRPr="00934E91">
        <w:rPr>
          <w:rStyle w:val="FootnoteReference"/>
          <w:rFonts w:ascii="Times New Roman" w:eastAsia="Times New Roman" w:hAnsi="Times New Roman" w:cs="Times New Roman"/>
        </w:rPr>
        <w:footnoteReference w:id="33"/>
      </w:r>
    </w:p>
    <w:p w14:paraId="442BC378" w14:textId="77777777" w:rsidR="00D91945" w:rsidRPr="00934E91" w:rsidRDefault="00D91945" w:rsidP="00D91945">
      <w:pPr>
        <w:pStyle w:val="para"/>
        <w:shd w:val="clear" w:color="auto" w:fill="FFFFFF"/>
        <w:spacing w:before="0" w:beforeAutospacing="0" w:after="0" w:afterAutospacing="0"/>
      </w:pPr>
    </w:p>
    <w:p w14:paraId="5DF69F8B" w14:textId="77777777" w:rsidR="00D91945" w:rsidRPr="00934E91" w:rsidRDefault="00D91945" w:rsidP="00D91945">
      <w:pPr>
        <w:pStyle w:val="Heading2"/>
        <w:rPr>
          <w:rFonts w:ascii="Times New Roman" w:hAnsi="Times New Roman" w:cs="Times New Roman"/>
          <w:color w:val="auto"/>
          <w:sz w:val="24"/>
          <w:szCs w:val="24"/>
        </w:rPr>
      </w:pPr>
      <w:r w:rsidRPr="00934E91">
        <w:rPr>
          <w:rFonts w:ascii="Times New Roman" w:hAnsi="Times New Roman" w:cs="Times New Roman"/>
          <w:color w:val="auto"/>
          <w:sz w:val="24"/>
          <w:szCs w:val="24"/>
        </w:rPr>
        <w:t>Privacy and Confidentiality</w:t>
      </w:r>
    </w:p>
    <w:p w14:paraId="5953863D" w14:textId="77777777" w:rsidR="00D91945" w:rsidRPr="00934E91" w:rsidRDefault="00D91945" w:rsidP="00D91945">
      <w:pPr>
        <w:pStyle w:val="para"/>
        <w:shd w:val="clear" w:color="auto" w:fill="FFFFFF"/>
        <w:spacing w:before="0" w:beforeAutospacing="0" w:after="0" w:afterAutospacing="0"/>
        <w:ind w:firstLine="720"/>
      </w:pPr>
      <w:r w:rsidRPr="00934E91">
        <w:t xml:space="preserve">One of the most important ethical guidelines in sociological and other human-subject research concerns privacy and confidentiality. When they do research, sociologists should protect the privacy and confidentiality of their subjects. When a survey is used, the data must be coded (prepared for computer analysis) anonymously, and in no way should it be possible for any answers to </w:t>
      </w:r>
      <w:proofErr w:type="gramStart"/>
      <w:r w:rsidRPr="00934E91">
        <w:t>be connected with</w:t>
      </w:r>
      <w:proofErr w:type="gramEnd"/>
      <w:r w:rsidRPr="00934E91">
        <w:t xml:space="preserve"> the respondent who gave them. In field research, anonymity must also be maintained, and aliases or pseudonyms (fake names) should normally be used when the researcher reports what she or he has been observing.</w:t>
      </w:r>
    </w:p>
    <w:p w14:paraId="7451BDD4" w14:textId="77777777" w:rsidR="00D91945" w:rsidRPr="00934E91" w:rsidRDefault="00D91945" w:rsidP="00D91945">
      <w:pPr>
        <w:pStyle w:val="para"/>
        <w:shd w:val="clear" w:color="auto" w:fill="FFFFFF"/>
        <w:spacing w:before="0" w:beforeAutospacing="0" w:after="0" w:afterAutospacing="0"/>
        <w:ind w:firstLine="720"/>
      </w:pPr>
      <w:r w:rsidRPr="00934E91">
        <w:t xml:space="preserve">Some sociologists consider the privacy and confidentiality of subjects so important that they have risked imprisonment when they have refused to violate confidentiality. In one example, a graduate student named Mario </w:t>
      </w:r>
      <w:proofErr w:type="spellStart"/>
      <w:r w:rsidRPr="00934E91">
        <w:t>Brajuha</w:t>
      </w:r>
      <w:proofErr w:type="spellEnd"/>
      <w:r w:rsidRPr="00934E91">
        <w:t xml:space="preserve"> had been doing participant observation as a </w:t>
      </w:r>
      <w:r w:rsidRPr="00934E91">
        <w:lastRenderedPageBreak/>
        <w:t xml:space="preserve">restaurant waiter on Long Island, New York, when the restaurant burned down. When the police suspected arson, they asked </w:t>
      </w:r>
      <w:proofErr w:type="spellStart"/>
      <w:r w:rsidRPr="00934E91">
        <w:t>Brajuha</w:t>
      </w:r>
      <w:proofErr w:type="spellEnd"/>
      <w:r w:rsidRPr="00934E91">
        <w:t xml:space="preserve"> to turn over his field notes. When </w:t>
      </w:r>
      <w:proofErr w:type="spellStart"/>
      <w:r w:rsidRPr="00934E91">
        <w:t>Brajuha</w:t>
      </w:r>
      <w:proofErr w:type="spellEnd"/>
      <w:r w:rsidRPr="00934E91">
        <w:t xml:space="preserve"> refused, he was threatened with imprisonment. Meanwhile, two suspects in the case also demanded his field notes for their legal defense, but again </w:t>
      </w:r>
      <w:proofErr w:type="spellStart"/>
      <w:r w:rsidRPr="00934E91">
        <w:t>Brajuha</w:t>
      </w:r>
      <w:proofErr w:type="spellEnd"/>
      <w:r w:rsidRPr="00934E91">
        <w:t xml:space="preserve"> refused. The controversy ended 2 years later when the suspects died and the prosecutor’s office abandoned its effort to obtain the notes (</w:t>
      </w:r>
      <w:proofErr w:type="spellStart"/>
      <w:r w:rsidRPr="00934E91">
        <w:t>Brajuha</w:t>
      </w:r>
      <w:proofErr w:type="spellEnd"/>
      <w:r w:rsidRPr="00934E91">
        <w:t xml:space="preserve"> &amp; Hallowell, 1986).</w:t>
      </w:r>
    </w:p>
    <w:p w14:paraId="7EEC6EE4" w14:textId="77777777" w:rsidR="00D91945" w:rsidRPr="00934E91" w:rsidRDefault="00D91945" w:rsidP="00D91945">
      <w:pPr>
        <w:pStyle w:val="para"/>
        <w:shd w:val="clear" w:color="auto" w:fill="FFFFFF"/>
        <w:spacing w:before="0" w:beforeAutospacing="0" w:after="0" w:afterAutospacing="0"/>
        <w:ind w:firstLine="720"/>
      </w:pPr>
      <w:r w:rsidRPr="00934E91">
        <w:t>In another case, a graduate student named Rik Scarce refused to turn over his field notes on radical environmentalists after one of the groups he was studying vandalized a university laboratory. Scarce was jailed for contempt of court when he refused to tell a grand jury what he had learned about the group and spent several months behind bars (Monaghan, 1993).</w:t>
      </w:r>
      <w:r w:rsidRPr="00934E91">
        <w:rPr>
          <w:rStyle w:val="FootnoteReference"/>
        </w:rPr>
        <w:footnoteReference w:id="34"/>
      </w:r>
    </w:p>
    <w:p w14:paraId="4F670ADA" w14:textId="77777777" w:rsidR="00D91945" w:rsidRPr="00934E91" w:rsidRDefault="00D91945" w:rsidP="00D91945">
      <w:pPr>
        <w:shd w:val="clear" w:color="auto" w:fill="FFFFFF"/>
        <w:jc w:val="center"/>
        <w:rPr>
          <w:rFonts w:ascii="Times New Roman" w:hAnsi="Times New Roman" w:cs="Times New Roman"/>
        </w:rPr>
      </w:pPr>
      <w:r w:rsidRPr="00934E91">
        <w:rPr>
          <w:rFonts w:ascii="Times New Roman" w:hAnsi="Times New Roman" w:cs="Times New Roman"/>
          <w:noProof/>
        </w:rPr>
        <w:drawing>
          <wp:inline distT="0" distB="0" distL="0" distR="0" wp14:anchorId="5C8AA524" wp14:editId="4DEE45A5">
            <wp:extent cx="4364893" cy="3899501"/>
            <wp:effectExtent l="0" t="0" r="0" b="6350"/>
            <wp:docPr id="4" name="Picture 4" descr="A gate at a prison">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ate at a prison">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76432" cy="3909810"/>
                    </a:xfrm>
                    <a:prstGeom prst="rect">
                      <a:avLst/>
                    </a:prstGeom>
                    <a:noFill/>
                    <a:ln>
                      <a:noFill/>
                    </a:ln>
                  </pic:spPr>
                </pic:pic>
              </a:graphicData>
            </a:graphic>
          </wp:inline>
        </w:drawing>
      </w:r>
    </w:p>
    <w:p w14:paraId="3F1827EF" w14:textId="77777777" w:rsidR="00D91945" w:rsidRPr="00934E91" w:rsidRDefault="00D91945" w:rsidP="00D91945">
      <w:pPr>
        <w:pStyle w:val="para"/>
        <w:shd w:val="clear" w:color="auto" w:fill="FFFFFF"/>
        <w:spacing w:before="0" w:beforeAutospacing="0" w:after="0" w:afterAutospacing="0"/>
        <w:jc w:val="center"/>
      </w:pPr>
      <w:r w:rsidRPr="00934E91">
        <w:t>The requirement of informed consent becomes an ethical issue when prisoners are studied, because prisoners may feel pressured to participate in the study.</w:t>
      </w:r>
    </w:p>
    <w:p w14:paraId="1CC0D464" w14:textId="77777777" w:rsidR="00D91945" w:rsidRDefault="00D91945" w:rsidP="00D91945">
      <w:pPr>
        <w:pStyle w:val="para"/>
        <w:shd w:val="clear" w:color="auto" w:fill="FFFFFF"/>
        <w:spacing w:before="0" w:beforeAutospacing="0" w:after="0" w:afterAutospacing="0"/>
        <w:jc w:val="center"/>
      </w:pPr>
      <w:r w:rsidRPr="00934E91">
        <w:t xml:space="preserve">Kim </w:t>
      </w:r>
      <w:proofErr w:type="spellStart"/>
      <w:r w:rsidRPr="00934E91">
        <w:t>Daram</w:t>
      </w:r>
      <w:proofErr w:type="spellEnd"/>
      <w:r w:rsidRPr="00934E91">
        <w:t xml:space="preserve"> – </w:t>
      </w:r>
      <w:hyperlink r:id="rId50" w:history="1">
        <w:r w:rsidRPr="00934E91">
          <w:rPr>
            <w:rStyle w:val="Hyperlink"/>
            <w:rFonts w:eastAsiaTheme="majorEastAsia"/>
            <w:color w:val="auto"/>
          </w:rPr>
          <w:t>prison</w:t>
        </w:r>
      </w:hyperlink>
      <w:r w:rsidRPr="00934E91">
        <w:t> – CC BY-NC 2.0.</w:t>
      </w:r>
    </w:p>
    <w:p w14:paraId="2CA0CEA1" w14:textId="77777777" w:rsidR="00D91945" w:rsidRPr="00934E91" w:rsidRDefault="00D91945" w:rsidP="00D91945">
      <w:pPr>
        <w:pStyle w:val="para"/>
        <w:shd w:val="clear" w:color="auto" w:fill="FFFFFF"/>
        <w:spacing w:before="0" w:beforeAutospacing="0" w:after="0" w:afterAutospacing="0"/>
        <w:jc w:val="center"/>
      </w:pPr>
    </w:p>
    <w:p w14:paraId="3023C936"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In protecting subjects’ identities, researchers typically promise to maintain either the </w:t>
      </w:r>
      <w:r w:rsidRPr="00B72CDA">
        <w:rPr>
          <w:rFonts w:ascii="Times New Roman" w:hAnsi="Times New Roman" w:cs="Times New Roman"/>
          <w:b/>
        </w:rPr>
        <w:t>anonymity</w:t>
      </w:r>
      <w:r w:rsidRPr="00934E91">
        <w:rPr>
          <w:rFonts w:ascii="Times New Roman" w:hAnsi="Times New Roman" w:cs="Times New Roman"/>
        </w:rPr>
        <w:t xml:space="preserve"> or the </w:t>
      </w:r>
      <w:r w:rsidRPr="00B72CDA">
        <w:rPr>
          <w:rFonts w:ascii="Times New Roman" w:hAnsi="Times New Roman" w:cs="Times New Roman"/>
          <w:b/>
        </w:rPr>
        <w:t>confidentialit</w:t>
      </w:r>
      <w:r w:rsidRPr="00934E91">
        <w:rPr>
          <w:rFonts w:ascii="Times New Roman" w:hAnsi="Times New Roman" w:cs="Times New Roman"/>
        </w:rPr>
        <w:t xml:space="preserve">y of their research subjects. Anonymity is the more stringent of the two. When a researcher promises anonymity to participants, not even the researcher is able to link participants’ data with their identities. Anonymity may be impossible for some sociological researchers to promise because several of the modes of data collection that sociologists employ, such as participant observation and face-to-face interviewing, require that researchers know the </w:t>
      </w:r>
      <w:r w:rsidRPr="00934E91">
        <w:rPr>
          <w:rFonts w:ascii="Times New Roman" w:hAnsi="Times New Roman" w:cs="Times New Roman"/>
        </w:rPr>
        <w:lastRenderedPageBreak/>
        <w:t xml:space="preserve">identities of their research participants. In these cases, a researcher should be able to at least promise confidentiality to participants. Offering confidentiality means that some identifying information on one’s subjects is known and may be kept, but only the researcher can link participants with their data and he or she promises not to do so publicly. Sometimes it is not even possible to promise that a subject’s confidentiality will be maintained. This is the case if data are collected in public or in the presence of other research participants in the course of a group interview, for example. </w:t>
      </w:r>
    </w:p>
    <w:p w14:paraId="67EAE479"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Protecting research participants’ identities is not always a simple prospect, especially for those conducting research on stigmatized groups or illegal behaviors. Sociologist Scott </w:t>
      </w:r>
      <w:proofErr w:type="spellStart"/>
      <w:r w:rsidRPr="00934E91">
        <w:rPr>
          <w:rFonts w:ascii="Times New Roman" w:hAnsi="Times New Roman" w:cs="Times New Roman"/>
        </w:rPr>
        <w:t>DeMuth</w:t>
      </w:r>
      <w:proofErr w:type="spellEnd"/>
      <w:r w:rsidRPr="00934E91">
        <w:rPr>
          <w:rFonts w:ascii="Times New Roman" w:hAnsi="Times New Roman" w:cs="Times New Roman"/>
        </w:rPr>
        <w:t xml:space="preserve"> learned that all too well when conducting his dissertation research on a group of animal rights activists. As a participant observer, </w:t>
      </w:r>
      <w:proofErr w:type="spellStart"/>
      <w:r w:rsidRPr="00934E91">
        <w:rPr>
          <w:rFonts w:ascii="Times New Roman" w:hAnsi="Times New Roman" w:cs="Times New Roman"/>
        </w:rPr>
        <w:t>DeMuth</w:t>
      </w:r>
      <w:proofErr w:type="spellEnd"/>
      <w:r w:rsidRPr="00934E91">
        <w:rPr>
          <w:rFonts w:ascii="Times New Roman" w:hAnsi="Times New Roman" w:cs="Times New Roman"/>
        </w:rPr>
        <w:t xml:space="preserve"> knew the identities of his research subjects. </w:t>
      </w:r>
      <w:proofErr w:type="gramStart"/>
      <w:r w:rsidRPr="00934E91">
        <w:rPr>
          <w:rFonts w:ascii="Times New Roman" w:hAnsi="Times New Roman" w:cs="Times New Roman"/>
        </w:rPr>
        <w:t>So</w:t>
      </w:r>
      <w:proofErr w:type="gramEnd"/>
      <w:r w:rsidRPr="00934E91">
        <w:rPr>
          <w:rFonts w:ascii="Times New Roman" w:hAnsi="Times New Roman" w:cs="Times New Roman"/>
        </w:rPr>
        <w:t xml:space="preserve"> when some of his research subjects vandalized facilities and removed animals from several research labs at the University of Iowa, a grand jury called on Mr. </w:t>
      </w:r>
      <w:proofErr w:type="spellStart"/>
      <w:r w:rsidRPr="00934E91">
        <w:rPr>
          <w:rFonts w:ascii="Times New Roman" w:hAnsi="Times New Roman" w:cs="Times New Roman"/>
        </w:rPr>
        <w:t>DeMuth</w:t>
      </w:r>
      <w:proofErr w:type="spellEnd"/>
      <w:r w:rsidRPr="00934E91">
        <w:rPr>
          <w:rFonts w:ascii="Times New Roman" w:hAnsi="Times New Roman" w:cs="Times New Roman"/>
        </w:rPr>
        <w:t xml:space="preserve"> to reveal the identities of the participants in the raid. When </w:t>
      </w:r>
      <w:proofErr w:type="spellStart"/>
      <w:r w:rsidRPr="00934E91">
        <w:rPr>
          <w:rFonts w:ascii="Times New Roman" w:hAnsi="Times New Roman" w:cs="Times New Roman"/>
        </w:rPr>
        <w:t>DeMuth</w:t>
      </w:r>
      <w:proofErr w:type="spellEnd"/>
      <w:r w:rsidRPr="00934E91">
        <w:rPr>
          <w:rFonts w:ascii="Times New Roman" w:hAnsi="Times New Roman" w:cs="Times New Roman"/>
        </w:rPr>
        <w:t xml:space="preserve"> refused to do so, he was jailed briefly and then charged with conspiracy to commit animal enterprise terrorism and cause damage to the animal enterprise (</w:t>
      </w:r>
      <w:proofErr w:type="spellStart"/>
      <w:r w:rsidRPr="00934E91">
        <w:rPr>
          <w:rFonts w:ascii="Times New Roman" w:hAnsi="Times New Roman" w:cs="Times New Roman"/>
        </w:rPr>
        <w:t>Jaschik</w:t>
      </w:r>
      <w:proofErr w:type="spellEnd"/>
      <w:r w:rsidRPr="00934E91">
        <w:rPr>
          <w:rFonts w:ascii="Times New Roman" w:hAnsi="Times New Roman" w:cs="Times New Roman"/>
        </w:rPr>
        <w:t>, 2009).</w:t>
      </w:r>
    </w:p>
    <w:p w14:paraId="394BD737"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 xml:space="preserve">Publicly, </w:t>
      </w:r>
      <w:proofErr w:type="spellStart"/>
      <w:r w:rsidRPr="00934E91">
        <w:rPr>
          <w:rFonts w:ascii="Times New Roman" w:hAnsi="Times New Roman" w:cs="Times New Roman"/>
        </w:rPr>
        <w:t>DeMuth’s</w:t>
      </w:r>
      <w:proofErr w:type="spellEnd"/>
      <w:r w:rsidRPr="00934E91">
        <w:rPr>
          <w:rFonts w:ascii="Times New Roman" w:hAnsi="Times New Roman" w:cs="Times New Roman"/>
        </w:rPr>
        <w:t xml:space="preserve"> case raised many of the same questions as Laud Humphreys’ work 40 years earlier. What do social scientists owe the public? Is </w:t>
      </w:r>
      <w:proofErr w:type="spellStart"/>
      <w:r w:rsidRPr="00934E91">
        <w:rPr>
          <w:rFonts w:ascii="Times New Roman" w:hAnsi="Times New Roman" w:cs="Times New Roman"/>
        </w:rPr>
        <w:t>DeMuth</w:t>
      </w:r>
      <w:proofErr w:type="spellEnd"/>
      <w:r w:rsidRPr="00934E91">
        <w:rPr>
          <w:rFonts w:ascii="Times New Roman" w:hAnsi="Times New Roman" w:cs="Times New Roman"/>
        </w:rPr>
        <w:t xml:space="preserve">, by protecting his research subjects, harming those whose labs were vandalized? Is he harming the taxpayers who funded those labs? Or is it more important that </w:t>
      </w:r>
      <w:proofErr w:type="spellStart"/>
      <w:r w:rsidRPr="00934E91">
        <w:rPr>
          <w:rFonts w:ascii="Times New Roman" w:hAnsi="Times New Roman" w:cs="Times New Roman"/>
        </w:rPr>
        <w:t>DeMuth</w:t>
      </w:r>
      <w:proofErr w:type="spellEnd"/>
      <w:r w:rsidRPr="00934E91">
        <w:rPr>
          <w:rFonts w:ascii="Times New Roman" w:hAnsi="Times New Roman" w:cs="Times New Roman"/>
        </w:rPr>
        <w:t xml:space="preserve"> emphasize what he owes his research subjects, who were told their identities would be protected? </w:t>
      </w:r>
      <w:proofErr w:type="spellStart"/>
      <w:r w:rsidRPr="00934E91">
        <w:rPr>
          <w:rFonts w:ascii="Times New Roman" w:hAnsi="Times New Roman" w:cs="Times New Roman"/>
        </w:rPr>
        <w:t>DeMuth’s</w:t>
      </w:r>
      <w:proofErr w:type="spellEnd"/>
      <w:r w:rsidRPr="00934E91">
        <w:rPr>
          <w:rFonts w:ascii="Times New Roman" w:hAnsi="Times New Roman" w:cs="Times New Roman"/>
        </w:rPr>
        <w:t xml:space="preserve"> case also sparked controversy among academics, some of whom thought that as an academic himself, </w:t>
      </w:r>
      <w:proofErr w:type="spellStart"/>
      <w:r w:rsidRPr="00934E91">
        <w:rPr>
          <w:rFonts w:ascii="Times New Roman" w:hAnsi="Times New Roman" w:cs="Times New Roman"/>
        </w:rPr>
        <w:t>DeMuth</w:t>
      </w:r>
      <w:proofErr w:type="spellEnd"/>
      <w:r w:rsidRPr="00934E91">
        <w:rPr>
          <w:rFonts w:ascii="Times New Roman" w:hAnsi="Times New Roman" w:cs="Times New Roman"/>
        </w:rPr>
        <w:t xml:space="preserve"> should have been more sympathetic to the plight of the faculty and students who lost years of research as a result of the attack on their labs. Many others stood by </w:t>
      </w:r>
      <w:proofErr w:type="spellStart"/>
      <w:r w:rsidRPr="00934E91">
        <w:rPr>
          <w:rFonts w:ascii="Times New Roman" w:hAnsi="Times New Roman" w:cs="Times New Roman"/>
        </w:rPr>
        <w:t>DeMuth</w:t>
      </w:r>
      <w:proofErr w:type="spellEnd"/>
      <w:r w:rsidRPr="00934E91">
        <w:rPr>
          <w:rFonts w:ascii="Times New Roman" w:hAnsi="Times New Roman" w:cs="Times New Roman"/>
        </w:rPr>
        <w:t xml:space="preserve">, arguing that the personal and academic freedom of scholars must be protected whether we support their research topics and subjects or not. </w:t>
      </w:r>
      <w:proofErr w:type="spellStart"/>
      <w:r w:rsidRPr="00934E91">
        <w:rPr>
          <w:rFonts w:ascii="Times New Roman" w:hAnsi="Times New Roman" w:cs="Times New Roman"/>
        </w:rPr>
        <w:t>DeMuth’s</w:t>
      </w:r>
      <w:proofErr w:type="spellEnd"/>
      <w:r w:rsidRPr="00934E91">
        <w:rPr>
          <w:rFonts w:ascii="Times New Roman" w:hAnsi="Times New Roman" w:cs="Times New Roman"/>
        </w:rPr>
        <w:t xml:space="preserve"> academic adviser even created a new group, Scholars for Academic Justice (http://sajumn.wordpress.com), to support </w:t>
      </w:r>
      <w:proofErr w:type="spellStart"/>
      <w:r w:rsidRPr="00934E91">
        <w:rPr>
          <w:rFonts w:ascii="Times New Roman" w:hAnsi="Times New Roman" w:cs="Times New Roman"/>
        </w:rPr>
        <w:t>DeMuth</w:t>
      </w:r>
      <w:proofErr w:type="spellEnd"/>
      <w:r w:rsidRPr="00934E91">
        <w:rPr>
          <w:rFonts w:ascii="Times New Roman" w:hAnsi="Times New Roman" w:cs="Times New Roman"/>
        </w:rPr>
        <w:t xml:space="preserve"> and other academics who face persecution or prosecution as a result of the research they conduct. What do you think? Should </w:t>
      </w:r>
      <w:proofErr w:type="spellStart"/>
      <w:r w:rsidRPr="00934E91">
        <w:rPr>
          <w:rFonts w:ascii="Times New Roman" w:hAnsi="Times New Roman" w:cs="Times New Roman"/>
        </w:rPr>
        <w:t>DeMuth</w:t>
      </w:r>
      <w:proofErr w:type="spellEnd"/>
      <w:r w:rsidRPr="00934E91">
        <w:rPr>
          <w:rFonts w:ascii="Times New Roman" w:hAnsi="Times New Roman" w:cs="Times New Roman"/>
        </w:rPr>
        <w:t xml:space="preserve"> have revealed the identities of his research subjects? Why or why not?</w:t>
      </w:r>
      <w:r w:rsidRPr="00934E91">
        <w:rPr>
          <w:rStyle w:val="FootnoteReference"/>
          <w:rFonts w:ascii="Times New Roman" w:hAnsi="Times New Roman" w:cs="Times New Roman"/>
        </w:rPr>
        <w:footnoteReference w:id="35"/>
      </w:r>
    </w:p>
    <w:p w14:paraId="2D8C29FB" w14:textId="77777777" w:rsidR="00D91945" w:rsidRPr="00934E91" w:rsidRDefault="00D91945" w:rsidP="00D91945">
      <w:pPr>
        <w:ind w:firstLine="720"/>
        <w:rPr>
          <w:rFonts w:ascii="Times New Roman" w:hAnsi="Times New Roman" w:cs="Times New Roman"/>
        </w:rPr>
      </w:pPr>
      <w:r w:rsidRPr="00934E91">
        <w:rPr>
          <w:rFonts w:ascii="Times New Roman" w:hAnsi="Times New Roman" w:cs="Times New Roman"/>
        </w:rPr>
        <w:t>As a researcher, the protection of your human subjects should always be at the forefront of any work you do. As a student, conducting research as a part of a class, you are generally exempt from completing the entire IRB process. However, if your rested will contribute to generalizable knowledge or be published outside of the classro</w:t>
      </w:r>
      <w:r>
        <w:rPr>
          <w:rFonts w:ascii="Times New Roman" w:hAnsi="Times New Roman" w:cs="Times New Roman"/>
        </w:rPr>
        <w:t>om, you may need to consider som</w:t>
      </w:r>
      <w:r w:rsidRPr="00934E91">
        <w:rPr>
          <w:rFonts w:ascii="Times New Roman" w:hAnsi="Times New Roman" w:cs="Times New Roman"/>
        </w:rPr>
        <w:t xml:space="preserve">e or </w:t>
      </w:r>
      <w:proofErr w:type="gramStart"/>
      <w:r w:rsidRPr="00934E91">
        <w:rPr>
          <w:rFonts w:ascii="Times New Roman" w:hAnsi="Times New Roman" w:cs="Times New Roman"/>
        </w:rPr>
        <w:t>all of</w:t>
      </w:r>
      <w:proofErr w:type="gramEnd"/>
      <w:r w:rsidRPr="00934E91">
        <w:rPr>
          <w:rFonts w:ascii="Times New Roman" w:hAnsi="Times New Roman" w:cs="Times New Roman"/>
        </w:rPr>
        <w:t xml:space="preserve"> this process. Most importantly, protection of human subjects should be practiced whether it not it is required. Although the formal aspects may be unnecessary, showing respect for your subjects by treating them humanely is never optional.</w:t>
      </w:r>
      <w:r w:rsidRPr="00934E91">
        <w:rPr>
          <w:rStyle w:val="FootnoteReference"/>
          <w:rFonts w:ascii="Times New Roman" w:hAnsi="Times New Roman" w:cs="Times New Roman"/>
        </w:rPr>
        <w:footnoteReference w:id="36"/>
      </w:r>
    </w:p>
    <w:p w14:paraId="75334338" w14:textId="77777777" w:rsidR="00D91945" w:rsidRPr="00934E91" w:rsidRDefault="00D91945" w:rsidP="00D91945">
      <w:pPr>
        <w:rPr>
          <w:rFonts w:ascii="Times New Roman" w:hAnsi="Times New Roman" w:cs="Times New Roman"/>
        </w:rPr>
      </w:pPr>
    </w:p>
    <w:p w14:paraId="4AA6AEA8" w14:textId="77777777" w:rsidR="00D91945" w:rsidRPr="00934E91" w:rsidRDefault="00D91945" w:rsidP="00D91945">
      <w:pPr>
        <w:rPr>
          <w:rFonts w:ascii="Times New Roman" w:hAnsi="Times New Roman" w:cs="Times New Roman"/>
        </w:rPr>
      </w:pPr>
      <w:r w:rsidRPr="00934E91">
        <w:rPr>
          <w:rFonts w:ascii="Times New Roman" w:hAnsi="Times New Roman" w:cs="Times New Roman"/>
        </w:rPr>
        <w:t>Chapter Summary</w:t>
      </w:r>
    </w:p>
    <w:p w14:paraId="778751D9" w14:textId="77777777" w:rsidR="00D91945" w:rsidRPr="00934E91" w:rsidRDefault="00D91945" w:rsidP="00C23CDB">
      <w:pPr>
        <w:pStyle w:val="ListParagraph"/>
        <w:numPr>
          <w:ilvl w:val="0"/>
          <w:numId w:val="22"/>
        </w:numPr>
        <w:rPr>
          <w:rFonts w:ascii="Times New Roman" w:hAnsi="Times New Roman" w:cs="Times New Roman"/>
        </w:rPr>
      </w:pPr>
      <w:r w:rsidRPr="00934E91">
        <w:rPr>
          <w:rFonts w:ascii="Times New Roman" w:hAnsi="Times New Roman" w:cs="Times New Roman"/>
        </w:rPr>
        <w:t>Social science researchers must always protect their home subjects</w:t>
      </w:r>
    </w:p>
    <w:p w14:paraId="1D5BE47A" w14:textId="77777777" w:rsidR="00D91945" w:rsidRPr="00934E91" w:rsidRDefault="00D91945" w:rsidP="00C23CDB">
      <w:pPr>
        <w:pStyle w:val="ListParagraph"/>
        <w:numPr>
          <w:ilvl w:val="0"/>
          <w:numId w:val="22"/>
        </w:numPr>
        <w:rPr>
          <w:rFonts w:ascii="Times New Roman" w:hAnsi="Times New Roman" w:cs="Times New Roman"/>
        </w:rPr>
      </w:pPr>
      <w:r w:rsidRPr="00934E91">
        <w:rPr>
          <w:rFonts w:ascii="Times New Roman" w:hAnsi="Times New Roman" w:cs="Times New Roman"/>
        </w:rPr>
        <w:t>This is done through ensuring that subjects are clear about the research and any benefits and risks involved</w:t>
      </w:r>
    </w:p>
    <w:p w14:paraId="6958CC7F" w14:textId="77777777" w:rsidR="00D91945" w:rsidRPr="00934E91" w:rsidRDefault="00D91945" w:rsidP="00C23CDB">
      <w:pPr>
        <w:pStyle w:val="ListParagraph"/>
        <w:numPr>
          <w:ilvl w:val="0"/>
          <w:numId w:val="22"/>
        </w:numPr>
        <w:rPr>
          <w:rFonts w:ascii="Times New Roman" w:hAnsi="Times New Roman" w:cs="Times New Roman"/>
        </w:rPr>
      </w:pPr>
      <w:r w:rsidRPr="00934E91">
        <w:rPr>
          <w:rFonts w:ascii="Times New Roman" w:hAnsi="Times New Roman" w:cs="Times New Roman"/>
        </w:rPr>
        <w:t>Vulnerable populations require additional protections</w:t>
      </w:r>
    </w:p>
    <w:p w14:paraId="0EAA1C7A" w14:textId="77777777" w:rsidR="00D91945" w:rsidRPr="00934E91" w:rsidRDefault="00D91945" w:rsidP="00C23CDB">
      <w:pPr>
        <w:pStyle w:val="ListParagraph"/>
        <w:numPr>
          <w:ilvl w:val="0"/>
          <w:numId w:val="22"/>
        </w:numPr>
        <w:rPr>
          <w:rFonts w:ascii="Times New Roman" w:hAnsi="Times New Roman" w:cs="Times New Roman"/>
        </w:rPr>
      </w:pPr>
      <w:r w:rsidRPr="00934E91">
        <w:rPr>
          <w:rFonts w:ascii="Times New Roman" w:hAnsi="Times New Roman" w:cs="Times New Roman"/>
        </w:rPr>
        <w:lastRenderedPageBreak/>
        <w:t>All colleges and universities but have mechanisms to monitor and approve research before it is conducted on human subjects</w:t>
      </w:r>
    </w:p>
    <w:p w14:paraId="2F131CDC" w14:textId="77777777" w:rsidR="00D91945" w:rsidRPr="00934E91" w:rsidRDefault="00D91945" w:rsidP="00C23CDB">
      <w:pPr>
        <w:pStyle w:val="ListParagraph"/>
        <w:numPr>
          <w:ilvl w:val="0"/>
          <w:numId w:val="22"/>
        </w:numPr>
        <w:rPr>
          <w:rFonts w:ascii="Times New Roman" w:hAnsi="Times New Roman" w:cs="Times New Roman"/>
        </w:rPr>
      </w:pPr>
      <w:r w:rsidRPr="00934E91">
        <w:rPr>
          <w:rFonts w:ascii="Times New Roman" w:hAnsi="Times New Roman" w:cs="Times New Roman"/>
        </w:rPr>
        <w:t>Research that has not had to follow these strict guidelines has had psychological and physiology effects on subjects</w:t>
      </w:r>
    </w:p>
    <w:p w14:paraId="0B46E1AB" w14:textId="77777777" w:rsidR="00D91945" w:rsidRPr="00934E91" w:rsidRDefault="00D91945" w:rsidP="00D91945">
      <w:pPr>
        <w:rPr>
          <w:rFonts w:ascii="Times New Roman" w:hAnsi="Times New Roman" w:cs="Times New Roman"/>
        </w:rPr>
      </w:pPr>
    </w:p>
    <w:p w14:paraId="394C0402" w14:textId="77777777" w:rsidR="00D91945" w:rsidRPr="00934E91" w:rsidRDefault="00D91945" w:rsidP="00D91945">
      <w:pPr>
        <w:rPr>
          <w:rFonts w:ascii="Times New Roman" w:hAnsi="Times New Roman" w:cs="Times New Roman"/>
        </w:rPr>
      </w:pPr>
      <w:r w:rsidRPr="00934E91">
        <w:rPr>
          <w:rFonts w:ascii="Times New Roman" w:hAnsi="Times New Roman" w:cs="Times New Roman"/>
        </w:rPr>
        <w:t>Questions</w:t>
      </w:r>
    </w:p>
    <w:p w14:paraId="3442A4FB" w14:textId="77777777" w:rsidR="00D91945" w:rsidRPr="00934E91" w:rsidRDefault="00D91945" w:rsidP="00C23CDB">
      <w:pPr>
        <w:pStyle w:val="ListParagraph"/>
        <w:numPr>
          <w:ilvl w:val="0"/>
          <w:numId w:val="23"/>
        </w:numPr>
        <w:rPr>
          <w:rFonts w:ascii="Times New Roman" w:hAnsi="Times New Roman" w:cs="Times New Roman"/>
        </w:rPr>
      </w:pPr>
      <w:r w:rsidRPr="00934E91">
        <w:rPr>
          <w:rFonts w:ascii="Times New Roman" w:hAnsi="Times New Roman" w:cs="Times New Roman"/>
        </w:rPr>
        <w:t>What is the name of the group of people tasked with monitoring his subjects research?</w:t>
      </w:r>
    </w:p>
    <w:p w14:paraId="7BC00C5E" w14:textId="77777777" w:rsidR="00D91945" w:rsidRPr="00934E91" w:rsidRDefault="00D91945" w:rsidP="00C23CDB">
      <w:pPr>
        <w:pStyle w:val="ListParagraph"/>
        <w:numPr>
          <w:ilvl w:val="0"/>
          <w:numId w:val="23"/>
        </w:numPr>
        <w:rPr>
          <w:rFonts w:ascii="Times New Roman" w:hAnsi="Times New Roman" w:cs="Times New Roman"/>
        </w:rPr>
      </w:pPr>
      <w:r w:rsidRPr="00934E91">
        <w:rPr>
          <w:rFonts w:ascii="Times New Roman" w:hAnsi="Times New Roman" w:cs="Times New Roman"/>
        </w:rPr>
        <w:t>What have been adverse effects of studies that haven't filled e the proper procedure?</w:t>
      </w:r>
    </w:p>
    <w:p w14:paraId="11A77487" w14:textId="77777777" w:rsidR="00D91945" w:rsidRPr="00934E91" w:rsidRDefault="00D91945" w:rsidP="00C23CDB">
      <w:pPr>
        <w:pStyle w:val="ListParagraph"/>
        <w:numPr>
          <w:ilvl w:val="0"/>
          <w:numId w:val="23"/>
        </w:numPr>
        <w:rPr>
          <w:rFonts w:ascii="Times New Roman" w:hAnsi="Times New Roman" w:cs="Times New Roman"/>
        </w:rPr>
      </w:pPr>
      <w:r w:rsidRPr="00934E91">
        <w:rPr>
          <w:rFonts w:ascii="Times New Roman" w:hAnsi="Times New Roman" w:cs="Times New Roman"/>
        </w:rPr>
        <w:t>How can a researcher project their subjects?</w:t>
      </w:r>
    </w:p>
    <w:p w14:paraId="602E149D" w14:textId="77777777" w:rsidR="00D91945" w:rsidRPr="00934E91" w:rsidRDefault="00D91945" w:rsidP="00C23CDB">
      <w:pPr>
        <w:pStyle w:val="ListParagraph"/>
        <w:numPr>
          <w:ilvl w:val="0"/>
          <w:numId w:val="23"/>
        </w:numPr>
        <w:rPr>
          <w:rFonts w:ascii="Times New Roman" w:hAnsi="Times New Roman" w:cs="Times New Roman"/>
        </w:rPr>
      </w:pPr>
      <w:r w:rsidRPr="00934E91">
        <w:rPr>
          <w:rFonts w:ascii="Times New Roman" w:hAnsi="Times New Roman" w:cs="Times New Roman"/>
        </w:rPr>
        <w:t xml:space="preserve">Thinking about research you have conducted or read about, in what ways might it have had an effect on the </w:t>
      </w:r>
      <w:proofErr w:type="gramStart"/>
      <w:r w:rsidRPr="00934E91">
        <w:rPr>
          <w:rFonts w:ascii="Times New Roman" w:hAnsi="Times New Roman" w:cs="Times New Roman"/>
        </w:rPr>
        <w:t>researchers</w:t>
      </w:r>
      <w:proofErr w:type="gramEnd"/>
      <w:r w:rsidRPr="00934E91">
        <w:rPr>
          <w:rFonts w:ascii="Times New Roman" w:hAnsi="Times New Roman" w:cs="Times New Roman"/>
        </w:rPr>
        <w:t xml:space="preserve"> subjects?</w:t>
      </w:r>
    </w:p>
    <w:p w14:paraId="62D9C65E" w14:textId="77777777" w:rsidR="00D91945" w:rsidRPr="00934E91" w:rsidRDefault="00D91945" w:rsidP="00C23CDB">
      <w:pPr>
        <w:pStyle w:val="ListParagraph"/>
        <w:numPr>
          <w:ilvl w:val="0"/>
          <w:numId w:val="23"/>
        </w:numPr>
        <w:rPr>
          <w:rFonts w:ascii="Times New Roman" w:hAnsi="Times New Roman" w:cs="Times New Roman"/>
        </w:rPr>
      </w:pPr>
      <w:r w:rsidRPr="00934E91">
        <w:rPr>
          <w:rFonts w:ascii="Times New Roman" w:hAnsi="Times New Roman" w:cs="Times New Roman"/>
        </w:rPr>
        <w:t>What kind of research might not have risks for the subject?</w:t>
      </w:r>
    </w:p>
    <w:p w14:paraId="579BDD3D" w14:textId="77777777" w:rsidR="00D91945" w:rsidRDefault="00D91945" w:rsidP="00D91945">
      <w:pPr>
        <w:rPr>
          <w:rFonts w:ascii="Times New Roman" w:hAnsi="Times New Roman" w:cs="Times New Roman"/>
        </w:rPr>
      </w:pPr>
    </w:p>
    <w:p w14:paraId="118345E1" w14:textId="77777777" w:rsidR="00D91945" w:rsidRDefault="00D91945" w:rsidP="00D91945">
      <w:pPr>
        <w:rPr>
          <w:rFonts w:ascii="Times New Roman" w:hAnsi="Times New Roman" w:cs="Times New Roman"/>
        </w:rPr>
      </w:pPr>
      <w:r>
        <w:rPr>
          <w:rFonts w:ascii="Times New Roman" w:hAnsi="Times New Roman" w:cs="Times New Roman"/>
        </w:rPr>
        <w:t>Key Terms</w:t>
      </w:r>
    </w:p>
    <w:p w14:paraId="741C7E9C" w14:textId="77777777" w:rsidR="00D91945" w:rsidRDefault="00D91945" w:rsidP="00C23CDB">
      <w:pPr>
        <w:pStyle w:val="ListParagraph"/>
        <w:numPr>
          <w:ilvl w:val="0"/>
          <w:numId w:val="24"/>
        </w:numPr>
        <w:rPr>
          <w:rFonts w:ascii="Times New Roman" w:hAnsi="Times New Roman" w:cs="Times New Roman"/>
        </w:rPr>
      </w:pPr>
      <w:r>
        <w:rPr>
          <w:rFonts w:ascii="Times New Roman" w:hAnsi="Times New Roman" w:cs="Times New Roman"/>
        </w:rPr>
        <w:t>Code of ethics</w:t>
      </w:r>
    </w:p>
    <w:p w14:paraId="04321785" w14:textId="77777777" w:rsidR="00D91945" w:rsidRDefault="00D91945" w:rsidP="00C23CDB">
      <w:pPr>
        <w:pStyle w:val="ListParagraph"/>
        <w:numPr>
          <w:ilvl w:val="0"/>
          <w:numId w:val="24"/>
        </w:numPr>
        <w:rPr>
          <w:rFonts w:ascii="Times New Roman" w:hAnsi="Times New Roman" w:cs="Times New Roman"/>
        </w:rPr>
      </w:pPr>
      <w:r>
        <w:rPr>
          <w:rFonts w:ascii="Times New Roman" w:hAnsi="Times New Roman" w:cs="Times New Roman"/>
        </w:rPr>
        <w:t>Value neutrality</w:t>
      </w:r>
    </w:p>
    <w:p w14:paraId="10BCEBB6" w14:textId="77777777" w:rsidR="00D91945" w:rsidRDefault="00D91945" w:rsidP="00C23CDB">
      <w:pPr>
        <w:pStyle w:val="ListParagraph"/>
        <w:numPr>
          <w:ilvl w:val="0"/>
          <w:numId w:val="24"/>
        </w:numPr>
        <w:rPr>
          <w:rFonts w:ascii="Times New Roman" w:hAnsi="Times New Roman" w:cs="Times New Roman"/>
        </w:rPr>
      </w:pPr>
      <w:r>
        <w:rPr>
          <w:rFonts w:ascii="Times New Roman" w:hAnsi="Times New Roman" w:cs="Times New Roman"/>
        </w:rPr>
        <w:t>Institutional Review Board</w:t>
      </w:r>
    </w:p>
    <w:p w14:paraId="3AAB66E8" w14:textId="77777777" w:rsidR="00D91945" w:rsidRDefault="00D91945" w:rsidP="00C23CDB">
      <w:pPr>
        <w:pStyle w:val="ListParagraph"/>
        <w:numPr>
          <w:ilvl w:val="0"/>
          <w:numId w:val="24"/>
        </w:numPr>
        <w:rPr>
          <w:rFonts w:ascii="Times New Roman" w:hAnsi="Times New Roman" w:cs="Times New Roman"/>
        </w:rPr>
      </w:pPr>
      <w:r>
        <w:rPr>
          <w:rFonts w:ascii="Times New Roman" w:hAnsi="Times New Roman" w:cs="Times New Roman"/>
        </w:rPr>
        <w:t>Informed consent</w:t>
      </w:r>
    </w:p>
    <w:p w14:paraId="5C979830" w14:textId="77777777" w:rsidR="00D91945" w:rsidRDefault="00D91945" w:rsidP="00C23CDB">
      <w:pPr>
        <w:pStyle w:val="ListParagraph"/>
        <w:numPr>
          <w:ilvl w:val="0"/>
          <w:numId w:val="24"/>
        </w:numPr>
        <w:rPr>
          <w:rFonts w:ascii="Times New Roman" w:hAnsi="Times New Roman" w:cs="Times New Roman"/>
        </w:rPr>
      </w:pPr>
      <w:r>
        <w:rPr>
          <w:rFonts w:ascii="Times New Roman" w:hAnsi="Times New Roman" w:cs="Times New Roman"/>
        </w:rPr>
        <w:t>Deception</w:t>
      </w:r>
    </w:p>
    <w:p w14:paraId="3EB65556" w14:textId="77777777" w:rsidR="00D91945" w:rsidRDefault="00D91945" w:rsidP="00C23CDB">
      <w:pPr>
        <w:pStyle w:val="ListParagraph"/>
        <w:numPr>
          <w:ilvl w:val="0"/>
          <w:numId w:val="24"/>
        </w:numPr>
        <w:rPr>
          <w:rFonts w:ascii="Times New Roman" w:hAnsi="Times New Roman" w:cs="Times New Roman"/>
        </w:rPr>
      </w:pPr>
      <w:r>
        <w:rPr>
          <w:rFonts w:ascii="Times New Roman" w:hAnsi="Times New Roman" w:cs="Times New Roman"/>
        </w:rPr>
        <w:t>Debriefing</w:t>
      </w:r>
    </w:p>
    <w:p w14:paraId="73F48D4B" w14:textId="77777777" w:rsidR="00D91945" w:rsidRDefault="00D91945" w:rsidP="00C23CDB">
      <w:pPr>
        <w:pStyle w:val="ListParagraph"/>
        <w:numPr>
          <w:ilvl w:val="0"/>
          <w:numId w:val="24"/>
        </w:numPr>
        <w:rPr>
          <w:rFonts w:ascii="Times New Roman" w:hAnsi="Times New Roman" w:cs="Times New Roman"/>
        </w:rPr>
      </w:pPr>
      <w:r>
        <w:rPr>
          <w:rFonts w:ascii="Times New Roman" w:hAnsi="Times New Roman" w:cs="Times New Roman"/>
        </w:rPr>
        <w:t>Anonymity</w:t>
      </w:r>
    </w:p>
    <w:p w14:paraId="07DD7A46" w14:textId="77777777" w:rsidR="00D91945" w:rsidRPr="00B72CDA" w:rsidRDefault="00D91945" w:rsidP="00C23CDB">
      <w:pPr>
        <w:pStyle w:val="ListParagraph"/>
        <w:numPr>
          <w:ilvl w:val="0"/>
          <w:numId w:val="24"/>
        </w:numPr>
        <w:rPr>
          <w:rFonts w:ascii="Times New Roman" w:hAnsi="Times New Roman" w:cs="Times New Roman"/>
        </w:rPr>
      </w:pPr>
      <w:r>
        <w:rPr>
          <w:rFonts w:ascii="Times New Roman" w:hAnsi="Times New Roman" w:cs="Times New Roman"/>
        </w:rPr>
        <w:t>Confidentiality</w:t>
      </w:r>
    </w:p>
    <w:p w14:paraId="56A88501" w14:textId="77777777" w:rsidR="00D91945" w:rsidRDefault="00D91945" w:rsidP="00D91945">
      <w:pPr>
        <w:rPr>
          <w:rFonts w:ascii="Times New Roman" w:hAnsi="Times New Roman" w:cs="Times New Roman"/>
        </w:rPr>
      </w:pPr>
    </w:p>
    <w:p w14:paraId="1A034C56" w14:textId="77777777" w:rsidR="00D91945" w:rsidRPr="00934E91" w:rsidRDefault="00D91945" w:rsidP="00D91945">
      <w:pPr>
        <w:rPr>
          <w:rFonts w:ascii="Times New Roman" w:hAnsi="Times New Roman" w:cs="Times New Roman"/>
        </w:rPr>
      </w:pPr>
    </w:p>
    <w:p w14:paraId="0B9431F9" w14:textId="77777777" w:rsidR="00D91945" w:rsidRPr="00934E91" w:rsidRDefault="00D91945" w:rsidP="00D91945">
      <w:pPr>
        <w:rPr>
          <w:rFonts w:ascii="Times New Roman" w:hAnsi="Times New Roman" w:cs="Times New Roman"/>
        </w:rPr>
      </w:pPr>
      <w:r w:rsidRPr="00934E91">
        <w:rPr>
          <w:rFonts w:ascii="Times New Roman" w:hAnsi="Times New Roman" w:cs="Times New Roman"/>
        </w:rPr>
        <w:t>References</w:t>
      </w:r>
    </w:p>
    <w:p w14:paraId="4F4DCFCF" w14:textId="77777777" w:rsidR="00D91945" w:rsidRPr="00B72CDA" w:rsidRDefault="00D91945" w:rsidP="00D91945">
      <w:pPr>
        <w:rPr>
          <w:rFonts w:ascii="Times New Roman" w:hAnsi="Times New Roman" w:cs="Times New Roman"/>
        </w:rPr>
      </w:pPr>
    </w:p>
    <w:p w14:paraId="772A146F"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American Sociological Association. (2008). Code of ethics and policies and procedures of the ASA committee on professional ethics. Washington, DC: ASA. </w:t>
      </w:r>
    </w:p>
    <w:p w14:paraId="245ED72B" w14:textId="77777777" w:rsidR="00D91945" w:rsidRPr="00934E91" w:rsidRDefault="00D91945" w:rsidP="00D91945">
      <w:pPr>
        <w:pStyle w:val="NormalWeb"/>
        <w:shd w:val="clear" w:color="auto" w:fill="FFFFFF"/>
        <w:spacing w:before="0" w:beforeAutospacing="0" w:after="0" w:afterAutospacing="0"/>
        <w:ind w:left="720" w:hanging="720"/>
      </w:pPr>
      <w:proofErr w:type="spellStart"/>
      <w:r w:rsidRPr="00934E91">
        <w:t>Brajuha</w:t>
      </w:r>
      <w:proofErr w:type="spellEnd"/>
      <w:r w:rsidRPr="00934E91">
        <w:t xml:space="preserve">, M., &amp; Hallowell, L. (1986). Legal intrusion and the politics of fieldwork: The impact of the </w:t>
      </w:r>
      <w:proofErr w:type="spellStart"/>
      <w:r w:rsidRPr="00934E91">
        <w:t>Brajuha</w:t>
      </w:r>
      <w:proofErr w:type="spellEnd"/>
      <w:r w:rsidRPr="00934E91">
        <w:t xml:space="preserve"> case. </w:t>
      </w:r>
      <w:r w:rsidRPr="00934E91">
        <w:rPr>
          <w:rStyle w:val="Emphasis"/>
        </w:rPr>
        <w:t>Urban Life, 14,</w:t>
      </w:r>
      <w:r w:rsidRPr="00934E91">
        <w:t> 454–478.</w:t>
      </w:r>
    </w:p>
    <w:p w14:paraId="65715560" w14:textId="77777777" w:rsidR="00D91945" w:rsidRPr="00B72CDA" w:rsidRDefault="00D91945" w:rsidP="00D91945">
      <w:pPr>
        <w:ind w:left="720" w:hanging="720"/>
        <w:rPr>
          <w:rFonts w:ascii="Times New Roman" w:hAnsi="Times New Roman" w:cs="Times New Roman"/>
        </w:rPr>
      </w:pPr>
      <w:proofErr w:type="spellStart"/>
      <w:r w:rsidRPr="00B72CDA">
        <w:rPr>
          <w:rFonts w:ascii="Times New Roman" w:hAnsi="Times New Roman" w:cs="Times New Roman"/>
        </w:rPr>
        <w:t>Faden</w:t>
      </w:r>
      <w:proofErr w:type="spellEnd"/>
      <w:r w:rsidRPr="00B72CDA">
        <w:rPr>
          <w:rFonts w:ascii="Times New Roman" w:hAnsi="Times New Roman" w:cs="Times New Roman"/>
        </w:rPr>
        <w:t xml:space="preserve">, R. R., &amp; Beauchamp, T. L. (1986). A history and theory of informed consent. Oxford, UK: Oxford University Press. </w:t>
      </w:r>
    </w:p>
    <w:p w14:paraId="47E52C06"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Humphreys, L. (1970). Tearoom trade: Impersonal sex in public places. London, UK: Duckworth. </w:t>
      </w:r>
    </w:p>
    <w:p w14:paraId="3DD6CE74" w14:textId="77777777" w:rsidR="00D91945" w:rsidRPr="00B72CDA" w:rsidRDefault="00D91945" w:rsidP="00D91945">
      <w:pPr>
        <w:ind w:left="720" w:hanging="720"/>
        <w:rPr>
          <w:rFonts w:ascii="Times New Roman" w:hAnsi="Times New Roman" w:cs="Times New Roman"/>
        </w:rPr>
      </w:pPr>
      <w:r w:rsidRPr="00B72CDA">
        <w:rPr>
          <w:rFonts w:ascii="Times New Roman" w:hAnsi="Times New Roman" w:cs="Times New Roman"/>
        </w:rPr>
        <w:t xml:space="preserve">Humphreys, L. (1970). Tearoom trade: Impersonal sex in public places. London, UK: Duckworth. </w:t>
      </w:r>
    </w:p>
    <w:p w14:paraId="74BAFDAC" w14:textId="77777777" w:rsidR="00D91945" w:rsidRPr="00934E91" w:rsidRDefault="00D91945" w:rsidP="00D91945">
      <w:pPr>
        <w:pStyle w:val="NormalWeb"/>
        <w:shd w:val="clear" w:color="auto" w:fill="FFFFFF"/>
        <w:spacing w:before="0" w:beforeAutospacing="0" w:after="0" w:afterAutospacing="0"/>
        <w:ind w:left="720" w:hanging="720"/>
      </w:pPr>
      <w:r w:rsidRPr="00934E91">
        <w:t>Humphreys, L. (1975). </w:t>
      </w:r>
      <w:proofErr w:type="spellStart"/>
      <w:r w:rsidRPr="00934E91">
        <w:rPr>
          <w:rStyle w:val="Emphasis"/>
        </w:rPr>
        <w:t>Teamroom</w:t>
      </w:r>
      <w:proofErr w:type="spellEnd"/>
      <w:r w:rsidRPr="00934E91">
        <w:rPr>
          <w:rStyle w:val="Emphasis"/>
        </w:rPr>
        <w:t xml:space="preserve"> trade: Impersonal sex in public places</w:t>
      </w:r>
      <w:r w:rsidRPr="00934E91">
        <w:t>. Chicago, IL: Aldine.</w:t>
      </w:r>
    </w:p>
    <w:p w14:paraId="44A29EE7"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Humphreys, L. (2008). Tearoom trade: Impersonal sex in public places, enlarged edition with a retrospect on ethical issues. New Brunswick, NJ: </w:t>
      </w:r>
      <w:proofErr w:type="spellStart"/>
      <w:r w:rsidRPr="00934E91">
        <w:rPr>
          <w:rFonts w:ascii="Times New Roman" w:hAnsi="Times New Roman" w:cs="Times New Roman"/>
        </w:rPr>
        <w:t>AldineTransaction</w:t>
      </w:r>
      <w:proofErr w:type="spellEnd"/>
      <w:r w:rsidRPr="00934E91">
        <w:rPr>
          <w:rFonts w:ascii="Times New Roman" w:hAnsi="Times New Roman" w:cs="Times New Roman"/>
        </w:rPr>
        <w:t xml:space="preserve">. </w:t>
      </w:r>
    </w:p>
    <w:p w14:paraId="2DB6E1A8"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Humphreys, L. (2008). Tearoom trade: Impersonal sex in public places, enlarged edition with a retrospect on ethical issues. New Brunswick, NJ: </w:t>
      </w:r>
      <w:proofErr w:type="spellStart"/>
      <w:r w:rsidRPr="00934E91">
        <w:rPr>
          <w:rFonts w:ascii="Times New Roman" w:hAnsi="Times New Roman" w:cs="Times New Roman"/>
        </w:rPr>
        <w:t>AldineTransaction</w:t>
      </w:r>
      <w:proofErr w:type="spellEnd"/>
      <w:r w:rsidRPr="00934E91">
        <w:rPr>
          <w:rFonts w:ascii="Times New Roman" w:hAnsi="Times New Roman" w:cs="Times New Roman"/>
        </w:rPr>
        <w:t xml:space="preserve">. </w:t>
      </w:r>
    </w:p>
    <w:p w14:paraId="5BFBA66C"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 </w:t>
      </w:r>
      <w:proofErr w:type="spellStart"/>
      <w:r w:rsidRPr="00934E91">
        <w:rPr>
          <w:rFonts w:ascii="Times New Roman" w:hAnsi="Times New Roman" w:cs="Times New Roman"/>
        </w:rPr>
        <w:t>Jaschik</w:t>
      </w:r>
      <w:proofErr w:type="spellEnd"/>
      <w:r w:rsidRPr="00934E91">
        <w:rPr>
          <w:rFonts w:ascii="Times New Roman" w:hAnsi="Times New Roman" w:cs="Times New Roman"/>
        </w:rPr>
        <w:t xml:space="preserve">, S. (2009, December 4). Protecting his sources. Inside Higher Ed. Retrieved from </w:t>
      </w:r>
      <w:hyperlink r:id="rId51" w:history="1">
        <w:r w:rsidRPr="00934E91">
          <w:rPr>
            <w:rStyle w:val="Hyperlink"/>
            <w:rFonts w:ascii="Times New Roman" w:hAnsi="Times New Roman" w:cs="Times New Roman"/>
            <w:color w:val="auto"/>
          </w:rPr>
          <w:t>http://www.insidehighered.com/news/2009/12/04/demuth</w:t>
        </w:r>
      </w:hyperlink>
      <w:r w:rsidRPr="00934E91">
        <w:rPr>
          <w:rFonts w:ascii="Times New Roman" w:hAnsi="Times New Roman" w:cs="Times New Roman"/>
        </w:rPr>
        <w:t xml:space="preserve"> </w:t>
      </w:r>
    </w:p>
    <w:p w14:paraId="602C6682" w14:textId="77777777" w:rsidR="00D91945" w:rsidRPr="00934E91" w:rsidRDefault="00D91945" w:rsidP="00D91945">
      <w:pPr>
        <w:pStyle w:val="NormalWeb"/>
        <w:shd w:val="clear" w:color="auto" w:fill="FFFFFF"/>
        <w:spacing w:before="0" w:beforeAutospacing="0" w:after="0" w:afterAutospacing="0"/>
        <w:ind w:left="720" w:hanging="720"/>
      </w:pPr>
      <w:r w:rsidRPr="00934E91">
        <w:t>Jones, J. H. (1981). </w:t>
      </w:r>
      <w:r w:rsidRPr="00934E91">
        <w:rPr>
          <w:rStyle w:val="Emphasis"/>
        </w:rPr>
        <w:t>Bad blood: The Tuskegee syphilis experiment</w:t>
      </w:r>
      <w:r w:rsidRPr="00934E91">
        <w:t>. New York, NY: Free Press.</w:t>
      </w:r>
    </w:p>
    <w:p w14:paraId="22656AEF" w14:textId="77777777" w:rsidR="00D91945" w:rsidRPr="00934E91" w:rsidRDefault="00D91945" w:rsidP="00D91945">
      <w:pPr>
        <w:ind w:left="720" w:hanging="720"/>
        <w:rPr>
          <w:rFonts w:ascii="Times New Roman" w:hAnsi="Times New Roman" w:cs="Times New Roman"/>
        </w:rPr>
      </w:pPr>
      <w:proofErr w:type="spellStart"/>
      <w:r w:rsidRPr="00934E91">
        <w:rPr>
          <w:rFonts w:ascii="Times New Roman" w:hAnsi="Times New Roman" w:cs="Times New Roman"/>
        </w:rPr>
        <w:t>Lenza</w:t>
      </w:r>
      <w:proofErr w:type="spellEnd"/>
      <w:r w:rsidRPr="00934E91">
        <w:rPr>
          <w:rFonts w:ascii="Times New Roman" w:hAnsi="Times New Roman" w:cs="Times New Roman"/>
        </w:rPr>
        <w:t xml:space="preserve">, M. (2004). Controversies surrounding Laud Humphreys’ tearoom trade: An unsettling example of politics and power in methodological critiques. International Journal of </w:t>
      </w:r>
      <w:r w:rsidRPr="00934E91">
        <w:rPr>
          <w:rFonts w:ascii="Times New Roman" w:hAnsi="Times New Roman" w:cs="Times New Roman"/>
        </w:rPr>
        <w:lastRenderedPageBreak/>
        <w:t xml:space="preserve">Sociology and Social Policy, 24, 20–31. See also </w:t>
      </w:r>
      <w:proofErr w:type="spellStart"/>
      <w:r w:rsidRPr="00934E91">
        <w:rPr>
          <w:rFonts w:ascii="Times New Roman" w:hAnsi="Times New Roman" w:cs="Times New Roman"/>
        </w:rPr>
        <w:t>Nardi</w:t>
      </w:r>
      <w:proofErr w:type="spellEnd"/>
      <w:r w:rsidRPr="00934E91">
        <w:rPr>
          <w:rFonts w:ascii="Times New Roman" w:hAnsi="Times New Roman" w:cs="Times New Roman"/>
        </w:rPr>
        <w:t xml:space="preserve">, P. M. (1995). “The breastplate of righteousness”: </w:t>
      </w:r>
      <w:proofErr w:type="spellStart"/>
      <w:r w:rsidRPr="00934E91">
        <w:rPr>
          <w:rFonts w:ascii="Times New Roman" w:hAnsi="Times New Roman" w:cs="Times New Roman"/>
        </w:rPr>
        <w:t>Twentyfive</w:t>
      </w:r>
      <w:proofErr w:type="spellEnd"/>
      <w:r w:rsidRPr="00934E91">
        <w:rPr>
          <w:rFonts w:ascii="Times New Roman" w:hAnsi="Times New Roman" w:cs="Times New Roman"/>
        </w:rPr>
        <w:t xml:space="preserve"> years after Laud Humphreys’ Tearoom trade: Impersonal sex in public places. Journal of Homosexuality, 30, 1–10. </w:t>
      </w:r>
    </w:p>
    <w:p w14:paraId="27C42745" w14:textId="77777777" w:rsidR="00D91945" w:rsidRPr="00B72CDA" w:rsidRDefault="00D91945" w:rsidP="00D91945">
      <w:pPr>
        <w:ind w:left="720" w:hanging="720"/>
        <w:rPr>
          <w:rFonts w:ascii="Times New Roman" w:hAnsi="Times New Roman" w:cs="Times New Roman"/>
        </w:rPr>
      </w:pPr>
      <w:proofErr w:type="spellStart"/>
      <w:r w:rsidRPr="00B72CDA">
        <w:rPr>
          <w:rFonts w:ascii="Times New Roman" w:hAnsi="Times New Roman" w:cs="Times New Roman"/>
        </w:rPr>
        <w:t>Lenza</w:t>
      </w:r>
      <w:proofErr w:type="spellEnd"/>
      <w:r w:rsidRPr="00B72CDA">
        <w:rPr>
          <w:rFonts w:ascii="Times New Roman" w:hAnsi="Times New Roman" w:cs="Times New Roman"/>
        </w:rPr>
        <w:t xml:space="preserve">, M. (2004). Controversies surrounding Laud Humphreys’ tearoom trade: An unsettling example of politics and power in methodological critiques. International Journal of Sociology and Social Policy, 24, 20–31. </w:t>
      </w:r>
    </w:p>
    <w:p w14:paraId="2B2350BE"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Milgram, S. (1974). Obedience to authority: An experimental view. New York, NY: Harper &amp; Row. </w:t>
      </w:r>
    </w:p>
    <w:p w14:paraId="04DD583A" w14:textId="77777777" w:rsidR="00D91945" w:rsidRPr="00B72CDA" w:rsidRDefault="00D91945" w:rsidP="00D91945">
      <w:pPr>
        <w:ind w:left="720" w:hanging="720"/>
        <w:rPr>
          <w:rFonts w:ascii="Times New Roman" w:hAnsi="Times New Roman" w:cs="Times New Roman"/>
        </w:rPr>
      </w:pPr>
      <w:r w:rsidRPr="00B72CDA">
        <w:rPr>
          <w:rFonts w:ascii="Times New Roman" w:hAnsi="Times New Roman" w:cs="Times New Roman"/>
        </w:rPr>
        <w:t xml:space="preserve">Milgram, S. (1974). Obedience to authority: An experimental view. New York, NY: Harper &amp; Row. </w:t>
      </w:r>
    </w:p>
    <w:p w14:paraId="3A8E5C52" w14:textId="77777777" w:rsidR="00D91945" w:rsidRPr="00934E91" w:rsidRDefault="00D91945" w:rsidP="00D91945">
      <w:pPr>
        <w:pStyle w:val="NormalWeb"/>
        <w:shd w:val="clear" w:color="auto" w:fill="FFFFFF"/>
        <w:spacing w:before="0" w:beforeAutospacing="0" w:after="0" w:afterAutospacing="0"/>
        <w:ind w:left="720" w:hanging="720"/>
      </w:pPr>
      <w:r w:rsidRPr="00934E91">
        <w:t>Monaghan, P. (1993). Sociologist is jailed for refusing to testify about research subject. </w:t>
      </w:r>
      <w:r w:rsidRPr="00934E91">
        <w:rPr>
          <w:rStyle w:val="Emphasis"/>
        </w:rPr>
        <w:t>Chronicle of Higher Education, 39,</w:t>
      </w:r>
      <w:r w:rsidRPr="00934E91">
        <w:t> 10.</w:t>
      </w:r>
    </w:p>
    <w:p w14:paraId="027898EC" w14:textId="77777777" w:rsidR="00D91945" w:rsidRPr="00B72CDA" w:rsidRDefault="00D91945" w:rsidP="00D91945">
      <w:pPr>
        <w:ind w:left="720" w:hanging="720"/>
        <w:rPr>
          <w:rFonts w:ascii="Times New Roman" w:hAnsi="Times New Roman" w:cs="Times New Roman"/>
        </w:rPr>
      </w:pPr>
      <w:proofErr w:type="spellStart"/>
      <w:r w:rsidRPr="00B72CDA">
        <w:rPr>
          <w:rFonts w:ascii="Times New Roman" w:hAnsi="Times New Roman" w:cs="Times New Roman"/>
        </w:rPr>
        <w:t>Nardi</w:t>
      </w:r>
      <w:proofErr w:type="spellEnd"/>
      <w:r w:rsidRPr="00B72CDA">
        <w:rPr>
          <w:rFonts w:ascii="Times New Roman" w:hAnsi="Times New Roman" w:cs="Times New Roman"/>
        </w:rPr>
        <w:t xml:space="preserve">, P. M. (1995). “The breastplate of righteousness”: </w:t>
      </w:r>
      <w:proofErr w:type="spellStart"/>
      <w:r w:rsidRPr="00B72CDA">
        <w:rPr>
          <w:rFonts w:ascii="Times New Roman" w:hAnsi="Times New Roman" w:cs="Times New Roman"/>
        </w:rPr>
        <w:t>Twentyfive</w:t>
      </w:r>
      <w:proofErr w:type="spellEnd"/>
      <w:r w:rsidRPr="00B72CDA">
        <w:rPr>
          <w:rFonts w:ascii="Times New Roman" w:hAnsi="Times New Roman" w:cs="Times New Roman"/>
        </w:rPr>
        <w:t xml:space="preserve"> years after Laud Humphreys’ Tearoom trade: Impersonal sex in public places. Journal of Homosexuality, 30, 1–10. Saylor URL: http://www.saylor.org/books Saylor.org 29 </w:t>
      </w:r>
    </w:p>
    <w:p w14:paraId="678F551F"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National Commission for the Protection of Human Subjects in Biomedical and Behavioral Research. (1979). The Belmont report: Ethical principles and guidelines for the protection of human subjects of research. Retrieved from </w:t>
      </w:r>
      <w:hyperlink r:id="rId52" w:history="1">
        <w:r w:rsidRPr="00934E91">
          <w:rPr>
            <w:rStyle w:val="Hyperlink"/>
            <w:rFonts w:ascii="Times New Roman" w:hAnsi="Times New Roman" w:cs="Times New Roman"/>
            <w:color w:val="auto"/>
          </w:rPr>
          <w:t>http://ohsr.od.nih.gov/guidelines/belmont.html</w:t>
        </w:r>
      </w:hyperlink>
      <w:r w:rsidRPr="00934E91">
        <w:rPr>
          <w:rFonts w:ascii="Times New Roman" w:hAnsi="Times New Roman" w:cs="Times New Roman"/>
        </w:rPr>
        <w:t xml:space="preserve"> </w:t>
      </w:r>
    </w:p>
    <w:p w14:paraId="00C179BC" w14:textId="77777777" w:rsidR="00D91945" w:rsidRPr="00B72CDA" w:rsidRDefault="00D91945" w:rsidP="00D91945">
      <w:pPr>
        <w:ind w:left="720" w:hanging="720"/>
        <w:rPr>
          <w:rFonts w:ascii="Times New Roman" w:hAnsi="Times New Roman" w:cs="Times New Roman"/>
        </w:rPr>
      </w:pPr>
      <w:r w:rsidRPr="00B72CDA">
        <w:rPr>
          <w:rFonts w:ascii="Times New Roman" w:hAnsi="Times New Roman" w:cs="Times New Roman"/>
        </w:rPr>
        <w:t xml:space="preserve">National Commission for the Protection of Human Subjects in Biomedical and Behavioral Research. (1979). The Belmont report: Ethical principles and guidelines for the protection of human subjects of research. Retrieved from </w:t>
      </w:r>
      <w:hyperlink r:id="rId53" w:history="1">
        <w:r w:rsidRPr="00B72CDA">
          <w:rPr>
            <w:rStyle w:val="Hyperlink"/>
            <w:rFonts w:ascii="Times New Roman" w:hAnsi="Times New Roman" w:cs="Times New Roman"/>
          </w:rPr>
          <w:t>http://ohsr.od.nih.gov/guidelines/belmont.html</w:t>
        </w:r>
      </w:hyperlink>
      <w:r w:rsidRPr="00B72CDA">
        <w:rPr>
          <w:rFonts w:ascii="Times New Roman" w:hAnsi="Times New Roman" w:cs="Times New Roman"/>
        </w:rPr>
        <w:t xml:space="preserve"> </w:t>
      </w:r>
    </w:p>
    <w:p w14:paraId="1967C1E5"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National Research Act of 1974, Pub. L. no. 93-348 Stat 88. (1974). The act can be read at </w:t>
      </w:r>
      <w:hyperlink r:id="rId54" w:history="1">
        <w:r w:rsidRPr="00934E91">
          <w:rPr>
            <w:rStyle w:val="Hyperlink"/>
            <w:rFonts w:ascii="Times New Roman" w:hAnsi="Times New Roman" w:cs="Times New Roman"/>
            <w:color w:val="auto"/>
          </w:rPr>
          <w:t>http://history.nih.gov/research/downloads/PL93-348.pdf</w:t>
        </w:r>
      </w:hyperlink>
      <w:r w:rsidRPr="00934E91">
        <w:rPr>
          <w:rFonts w:ascii="Times New Roman" w:hAnsi="Times New Roman" w:cs="Times New Roman"/>
        </w:rPr>
        <w:t xml:space="preserve">. </w:t>
      </w:r>
    </w:p>
    <w:p w14:paraId="3C862231" w14:textId="77777777" w:rsidR="00D91945" w:rsidRPr="00B72CDA" w:rsidRDefault="00D91945" w:rsidP="00D91945">
      <w:pPr>
        <w:ind w:left="720" w:hanging="720"/>
        <w:rPr>
          <w:rFonts w:ascii="Times New Roman" w:hAnsi="Times New Roman" w:cs="Times New Roman"/>
        </w:rPr>
      </w:pPr>
      <w:r w:rsidRPr="00B72CDA">
        <w:rPr>
          <w:rFonts w:ascii="Times New Roman" w:hAnsi="Times New Roman" w:cs="Times New Roman"/>
        </w:rPr>
        <w:t>National Research Act of 1974, Pub. L. no. 93-348 Stat 88. (1974). The act can be read at http://history.nih.gov/research/downloads/PL93-348.pdf</w:t>
      </w:r>
    </w:p>
    <w:p w14:paraId="00DA9965"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Ogden, R. (2008). Harm. In L. M. Given (Ed.), The sage encyclopedia of qualitative research methods (pp. 379–380). Los Angeles, CA: Sage. </w:t>
      </w:r>
    </w:p>
    <w:p w14:paraId="5D3B5C8E" w14:textId="77777777" w:rsidR="00D91945" w:rsidRPr="00B72CDA" w:rsidRDefault="00D91945" w:rsidP="00D91945">
      <w:pPr>
        <w:ind w:left="720" w:hanging="720"/>
        <w:rPr>
          <w:rFonts w:ascii="Times New Roman" w:hAnsi="Times New Roman" w:cs="Times New Roman"/>
        </w:rPr>
      </w:pPr>
      <w:r w:rsidRPr="00B72CDA">
        <w:rPr>
          <w:rFonts w:ascii="Times New Roman" w:hAnsi="Times New Roman" w:cs="Times New Roman"/>
        </w:rPr>
        <w:t xml:space="preserve">Ogden, R. (2008). Harm. In L. M. Given (Ed.), The sage encyclopedia of qualitative research methods (pp. 379–380). Los Angeles, CA: Sage. </w:t>
      </w:r>
    </w:p>
    <w:p w14:paraId="495A9B83" w14:textId="77777777" w:rsidR="00D91945" w:rsidRPr="00B72CDA" w:rsidRDefault="00D91945" w:rsidP="00D91945">
      <w:pPr>
        <w:ind w:left="720" w:hanging="720"/>
        <w:rPr>
          <w:rFonts w:ascii="Times New Roman" w:hAnsi="Times New Roman" w:cs="Times New Roman"/>
        </w:rPr>
      </w:pPr>
      <w:proofErr w:type="spellStart"/>
      <w:r w:rsidRPr="00B72CDA">
        <w:rPr>
          <w:rFonts w:ascii="Times New Roman" w:hAnsi="Times New Roman" w:cs="Times New Roman"/>
        </w:rPr>
        <w:t>Reverby</w:t>
      </w:r>
      <w:proofErr w:type="spellEnd"/>
      <w:r w:rsidRPr="00B72CDA">
        <w:rPr>
          <w:rFonts w:ascii="Times New Roman" w:hAnsi="Times New Roman" w:cs="Times New Roman"/>
        </w:rPr>
        <w:t xml:space="preserve">, S. M. (2009). Examining Tuskegee: The infamous syphilis study and its legacy. Chapel Hill, NC: University of North Carolina Press. </w:t>
      </w:r>
    </w:p>
    <w:p w14:paraId="340CD36C"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Rothman, D. J. (1987). Ethics and human experimentation. The New England Journal of Medicine, 317, 1195–1199. </w:t>
      </w:r>
    </w:p>
    <w:p w14:paraId="6B17A01D" w14:textId="77777777" w:rsidR="00D91945" w:rsidRPr="00B72CDA" w:rsidRDefault="00D91945" w:rsidP="00D91945">
      <w:pPr>
        <w:ind w:left="720" w:hanging="720"/>
        <w:rPr>
          <w:rFonts w:ascii="Times New Roman" w:hAnsi="Times New Roman" w:cs="Times New Roman"/>
        </w:rPr>
      </w:pPr>
      <w:r w:rsidRPr="00B72CDA">
        <w:rPr>
          <w:rFonts w:ascii="Times New Roman" w:hAnsi="Times New Roman" w:cs="Times New Roman"/>
        </w:rPr>
        <w:t xml:space="preserve">Rothman, D. J. (1987). Ethics and human experimentation. The New England Journal of Medicine, 317, 1195–1199. </w:t>
      </w:r>
    </w:p>
    <w:p w14:paraId="04665620" w14:textId="77777777" w:rsidR="00D91945" w:rsidRPr="00934E91" w:rsidRDefault="00D91945" w:rsidP="00D91945">
      <w:pPr>
        <w:ind w:left="720" w:hanging="720"/>
        <w:rPr>
          <w:rFonts w:ascii="Times New Roman" w:hAnsi="Times New Roman" w:cs="Times New Roman"/>
        </w:rPr>
      </w:pPr>
      <w:r>
        <w:rPr>
          <w:rFonts w:ascii="Times New Roman" w:hAnsi="Times New Roman" w:cs="Times New Roman"/>
        </w:rPr>
        <w:t>S</w:t>
      </w:r>
      <w:r w:rsidRPr="00934E91">
        <w:rPr>
          <w:rFonts w:ascii="Times New Roman" w:hAnsi="Times New Roman" w:cs="Times New Roman"/>
        </w:rPr>
        <w:t xml:space="preserve">aylor URL: http://www.saylor.org/books Saylor.org 29 </w:t>
      </w:r>
    </w:p>
    <w:p w14:paraId="6502B827"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 The US Department of Health and Human Services’ guidelines on vulnerable populations can be read at </w:t>
      </w:r>
      <w:hyperlink r:id="rId55" w:history="1">
        <w:r w:rsidRPr="00934E91">
          <w:rPr>
            <w:rStyle w:val="Hyperlink"/>
            <w:rFonts w:ascii="Times New Roman" w:hAnsi="Times New Roman" w:cs="Times New Roman"/>
            <w:color w:val="auto"/>
          </w:rPr>
          <w:t>http://www.hhs.gov/ohrp/policy/populations</w:t>
        </w:r>
      </w:hyperlink>
      <w:r w:rsidRPr="00934E91">
        <w:rPr>
          <w:rFonts w:ascii="Times New Roman" w:hAnsi="Times New Roman" w:cs="Times New Roman"/>
        </w:rPr>
        <w:t xml:space="preserve">. </w:t>
      </w:r>
    </w:p>
    <w:p w14:paraId="345FA8A7"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US Department of Health and Human Services. (1993). Institutional review board guidebook glossary. Retrieved from </w:t>
      </w:r>
      <w:hyperlink r:id="rId56" w:history="1">
        <w:r w:rsidRPr="00934E91">
          <w:rPr>
            <w:rStyle w:val="Hyperlink"/>
            <w:rFonts w:ascii="Times New Roman" w:hAnsi="Times New Roman" w:cs="Times New Roman"/>
            <w:color w:val="auto"/>
          </w:rPr>
          <w:t>http://www.hhs.gov/ohrp/archive/irb/irb_glossary.htm</w:t>
        </w:r>
      </w:hyperlink>
      <w:r w:rsidRPr="00934E91">
        <w:rPr>
          <w:rFonts w:ascii="Times New Roman" w:hAnsi="Times New Roman" w:cs="Times New Roman"/>
        </w:rPr>
        <w:t xml:space="preserve"> </w:t>
      </w:r>
    </w:p>
    <w:p w14:paraId="54D5EB81" w14:textId="77777777" w:rsidR="00D91945" w:rsidRPr="00B72CDA" w:rsidRDefault="00D91945" w:rsidP="00D91945">
      <w:pPr>
        <w:ind w:left="720" w:hanging="720"/>
        <w:rPr>
          <w:rFonts w:ascii="Times New Roman" w:hAnsi="Times New Roman" w:cs="Times New Roman"/>
        </w:rPr>
      </w:pPr>
      <w:r w:rsidRPr="00B72CDA">
        <w:rPr>
          <w:rFonts w:ascii="Times New Roman" w:hAnsi="Times New Roman" w:cs="Times New Roman"/>
        </w:rPr>
        <w:t xml:space="preserve">US Department of Health and Human Services. (1993). Institutional review board guidebook glossary. Retrieved from http://www.hhs.gov/ohrp/archive/irb/irb_glossary.htm </w:t>
      </w:r>
    </w:p>
    <w:p w14:paraId="2DB88FBA"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lastRenderedPageBreak/>
        <w:t xml:space="preserve">US Department of Health and Human Services. (2009). Code of federal regulations (45 CFR 46). The full set of requirements for informed consent can be read at </w:t>
      </w:r>
      <w:hyperlink r:id="rId57" w:anchor="46.116" w:history="1">
        <w:r w:rsidRPr="00934E91">
          <w:rPr>
            <w:rStyle w:val="Hyperlink"/>
            <w:rFonts w:ascii="Times New Roman" w:hAnsi="Times New Roman" w:cs="Times New Roman"/>
            <w:color w:val="auto"/>
          </w:rPr>
          <w:t>http://www.hhs.gov/ohrp/humansubjects/guidance/45cfr46.html#46.116</w:t>
        </w:r>
      </w:hyperlink>
      <w:r w:rsidRPr="00934E91">
        <w:rPr>
          <w:rFonts w:ascii="Times New Roman" w:hAnsi="Times New Roman" w:cs="Times New Roman"/>
        </w:rPr>
        <w:t xml:space="preserve">. </w:t>
      </w:r>
    </w:p>
    <w:p w14:paraId="1C6EA093"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Von Hoffman, N. (1970, January 30). Sociological snoopers. The Washington Post, p. B1. </w:t>
      </w:r>
    </w:p>
    <w:p w14:paraId="5B12DE40" w14:textId="77777777" w:rsidR="00D91945" w:rsidRPr="00B72CDA" w:rsidRDefault="00D91945" w:rsidP="00D91945">
      <w:pPr>
        <w:ind w:left="720" w:hanging="720"/>
        <w:rPr>
          <w:rFonts w:ascii="Times New Roman" w:hAnsi="Times New Roman" w:cs="Times New Roman"/>
        </w:rPr>
      </w:pPr>
      <w:r w:rsidRPr="00B72CDA">
        <w:rPr>
          <w:rFonts w:ascii="Times New Roman" w:hAnsi="Times New Roman" w:cs="Times New Roman"/>
        </w:rPr>
        <w:t xml:space="preserve">Von Hoffman, N. (1970, January 30). Sociological snoopers. The Washington Post, p. B1. </w:t>
      </w:r>
    </w:p>
    <w:p w14:paraId="7DE51596" w14:textId="77777777" w:rsidR="00D91945" w:rsidRPr="00934E91" w:rsidRDefault="00D91945" w:rsidP="00D91945">
      <w:pPr>
        <w:ind w:left="720" w:hanging="720"/>
        <w:rPr>
          <w:rFonts w:ascii="Times New Roman" w:hAnsi="Times New Roman" w:cs="Times New Roman"/>
        </w:rPr>
      </w:pPr>
      <w:r w:rsidRPr="00934E91">
        <w:rPr>
          <w:rFonts w:ascii="Times New Roman" w:hAnsi="Times New Roman" w:cs="Times New Roman"/>
        </w:rPr>
        <w:t xml:space="preserve">Warwick, D. P. (1973). Tearoom trade: Means and ends in social research. Hastings Center Studies, 1, 39–49. See also Warwick, D. P. (1982). Types of harm in social research. In T. L. Beauchamp, R. R. </w:t>
      </w:r>
      <w:proofErr w:type="spellStart"/>
      <w:r w:rsidRPr="00934E91">
        <w:rPr>
          <w:rFonts w:ascii="Times New Roman" w:hAnsi="Times New Roman" w:cs="Times New Roman"/>
        </w:rPr>
        <w:t>Faden</w:t>
      </w:r>
      <w:proofErr w:type="spellEnd"/>
      <w:r w:rsidRPr="00934E91">
        <w:rPr>
          <w:rFonts w:ascii="Times New Roman" w:hAnsi="Times New Roman" w:cs="Times New Roman"/>
        </w:rPr>
        <w:t xml:space="preserve">, R. J. Wallace Jr., &amp; L. Walters (Eds.), Ethical issues in social science research. Baltimore, MD: Johns Hopkins University Press. </w:t>
      </w:r>
    </w:p>
    <w:p w14:paraId="587A219D" w14:textId="77777777" w:rsidR="00D91945" w:rsidRPr="00B72CDA" w:rsidRDefault="00D91945" w:rsidP="00D91945">
      <w:pPr>
        <w:ind w:left="720" w:hanging="720"/>
        <w:rPr>
          <w:rFonts w:ascii="Times New Roman" w:hAnsi="Times New Roman" w:cs="Times New Roman"/>
        </w:rPr>
      </w:pPr>
      <w:r w:rsidRPr="00B72CDA">
        <w:rPr>
          <w:rFonts w:ascii="Times New Roman" w:hAnsi="Times New Roman" w:cs="Times New Roman"/>
        </w:rPr>
        <w:t xml:space="preserve"> Warwick, D. P. (1973). Tearoom trade: Means and ends in social research. Hastings Center Studies, 1, 39–49. See also Warwick, D. P. (1982). Types of harm in social research. In T. L. Beauchamp, R. R. </w:t>
      </w:r>
      <w:proofErr w:type="spellStart"/>
      <w:r w:rsidRPr="00B72CDA">
        <w:rPr>
          <w:rFonts w:ascii="Times New Roman" w:hAnsi="Times New Roman" w:cs="Times New Roman"/>
        </w:rPr>
        <w:t>Faden</w:t>
      </w:r>
      <w:proofErr w:type="spellEnd"/>
      <w:r w:rsidRPr="00B72CDA">
        <w:rPr>
          <w:rFonts w:ascii="Times New Roman" w:hAnsi="Times New Roman" w:cs="Times New Roman"/>
        </w:rPr>
        <w:t xml:space="preserve">, R. J. Wallace Jr., &amp; L. Walters (Eds.), Ethical issues in social science research. Baltimore, MD: Johns Hopkins University Press. </w:t>
      </w:r>
    </w:p>
    <w:p w14:paraId="18DB665C" w14:textId="77777777" w:rsidR="00D91945" w:rsidRPr="006D2560" w:rsidRDefault="00D91945" w:rsidP="00D91945">
      <w:pPr>
        <w:pStyle w:val="Heading1"/>
        <w:jc w:val="center"/>
        <w:rPr>
          <w:sz w:val="28"/>
          <w:szCs w:val="28"/>
        </w:rPr>
      </w:pPr>
      <w:r>
        <w:br w:type="page"/>
      </w:r>
      <w:r w:rsidRPr="006D2560">
        <w:rPr>
          <w:sz w:val="28"/>
          <w:szCs w:val="28"/>
        </w:rPr>
        <w:lastRenderedPageBreak/>
        <w:t>Ethnographic Mapping</w:t>
      </w:r>
    </w:p>
    <w:p w14:paraId="33F2A426" w14:textId="77777777" w:rsidR="00D91945" w:rsidRPr="006D2560" w:rsidRDefault="00D91945" w:rsidP="00D91945">
      <w:pPr>
        <w:jc w:val="center"/>
      </w:pPr>
      <w:r w:rsidRPr="006D2560">
        <w:t>Tom Martin, PhD</w:t>
      </w:r>
    </w:p>
    <w:p w14:paraId="7E901FA4" w14:textId="77777777" w:rsidR="00D91945" w:rsidRPr="006D2560" w:rsidRDefault="00D91945" w:rsidP="00D91945"/>
    <w:p w14:paraId="7A1ACE9C" w14:textId="77777777" w:rsidR="00D91945" w:rsidRDefault="00D91945" w:rsidP="00605712">
      <w:pPr>
        <w:ind w:firstLine="720"/>
      </w:pPr>
      <w:r>
        <w:t xml:space="preserve">Because human action is closely tied to the physical spaces in which it unfolds, it is important that ethnographers pay close attention to the role that their location and surroundings play in their research. Maps allow us to record how our participants move across landscapes and through time, interacting with physical environments and with other people. As with all ethnographic recording, maps represent the ethnographer’s </w:t>
      </w:r>
      <w:r>
        <w:rPr>
          <w:i/>
          <w:iCs/>
        </w:rPr>
        <w:t>interpretation</w:t>
      </w:r>
      <w:r>
        <w:t xml:space="preserve"> of people, places, and events; mapping is another way to record your unique perspective on how your research participants lead their daily lives.</w:t>
      </w:r>
    </w:p>
    <w:p w14:paraId="38BB81A4" w14:textId="77777777" w:rsidR="00D91945" w:rsidRDefault="00D91945" w:rsidP="00605712">
      <w:pPr>
        <w:ind w:firstLine="720"/>
      </w:pPr>
      <w:r>
        <w:t>While maps traditionally record physical spaces, like the layout of cities or patterns of movement within the workplace, they can be used to represent much more abstract things as well. In this chapter, we will begin by discussing maps that represent physical settings, then move on to talk about mapping life histories, organizations, and processes. These other kinds of mapping will allow you to interpret and represent more than just the setting of your research, showing the audience the ‘how’ and ‘why’ aspects, rather than just the ‘what’ and ‘where’. Regardless of what you are mapping, however, this chapter will stress that maps should always be clearly understandable, making the information that they present immediately accessible to the reader.</w:t>
      </w:r>
    </w:p>
    <w:p w14:paraId="3C0E56ED" w14:textId="77777777" w:rsidR="00D91945" w:rsidRPr="00506A22" w:rsidRDefault="00D91945" w:rsidP="00605712">
      <w:pPr>
        <w:ind w:firstLine="720"/>
      </w:pPr>
      <w:r>
        <w:t xml:space="preserve">Throughout the chapter, I will illustrate each kind of map that I discuss with examples from </w:t>
      </w:r>
      <w:hyperlink r:id="rId58" w:history="1">
        <w:r w:rsidRPr="00F5588C">
          <w:rPr>
            <w:rStyle w:val="Hyperlink"/>
          </w:rPr>
          <w:t>my own research</w:t>
        </w:r>
      </w:hyperlink>
      <w:r>
        <w:t>, where I conducted an ethnography in the wooden boat builder’s workshop, studying how apprentices learn the trade. I encourage you to look at each of the maps I made very closely, then think about how you might have done it differently yourself.</w:t>
      </w:r>
    </w:p>
    <w:p w14:paraId="0D299832" w14:textId="77777777" w:rsidR="00D91945" w:rsidRDefault="00D91945" w:rsidP="00D91945"/>
    <w:p w14:paraId="0FC05E54" w14:textId="77777777" w:rsidR="00D91945" w:rsidRPr="006D2560" w:rsidRDefault="00D91945" w:rsidP="00D91945">
      <w:pPr>
        <w:pStyle w:val="Heading2"/>
      </w:pPr>
      <w:r w:rsidRPr="006D2560">
        <w:t>Mapping spaces</w:t>
      </w:r>
    </w:p>
    <w:p w14:paraId="61EF7DC7" w14:textId="77777777" w:rsidR="00D91945" w:rsidRPr="006D2560" w:rsidRDefault="00D91945" w:rsidP="00D91945"/>
    <w:p w14:paraId="3BB91D26" w14:textId="77777777" w:rsidR="00D91945" w:rsidRPr="006D2560" w:rsidRDefault="00D91945" w:rsidP="00605712">
      <w:pPr>
        <w:ind w:firstLine="720"/>
      </w:pPr>
      <w:r w:rsidRPr="006D2560">
        <w:t xml:space="preserve">When you picture a map, you probably think of a road map, with intersecting lines indicating highways and city streets. Perhaps you think of a digital version with GPS, like what you have on your phone, since </w:t>
      </w:r>
      <w:r>
        <w:t>those</w:t>
      </w:r>
      <w:r w:rsidRPr="006D2560">
        <w:t xml:space="preserve"> have largely replaced printed maps in day-to-day use. These classic maps are ‘spatial maps’, represent</w:t>
      </w:r>
      <w:r>
        <w:t>ing</w:t>
      </w:r>
      <w:r w:rsidRPr="006D2560">
        <w:t xml:space="preserve"> physical spaces.</w:t>
      </w:r>
    </w:p>
    <w:p w14:paraId="648C80DE" w14:textId="77777777" w:rsidR="00D91945" w:rsidRPr="006D2560" w:rsidRDefault="00D91945" w:rsidP="00605712">
      <w:pPr>
        <w:ind w:firstLine="720"/>
      </w:pPr>
      <w:r w:rsidRPr="006D2560">
        <w:t xml:space="preserve">Ethnographers have long been interested in spatial maps because cultures are often </w:t>
      </w:r>
      <w:r>
        <w:t>better</w:t>
      </w:r>
      <w:r w:rsidRPr="006D2560">
        <w:t xml:space="preserve"> understood</w:t>
      </w:r>
      <w:r>
        <w:t xml:space="preserve"> when the </w:t>
      </w:r>
      <w:r w:rsidRPr="006D2560">
        <w:t>physical spaces occupied by the people of those cultures</w:t>
      </w:r>
      <w:r>
        <w:t xml:space="preserve"> are taken into consideration</w:t>
      </w:r>
      <w:r w:rsidRPr="006D2560">
        <w:t xml:space="preserve">. Ethnographic maps are different from traditional maps, however, in that they do not just represent the geographical features of a particular space; ethnographic maps also indicate how people interact with a space, or how particular spatial features interact with cultural practices </w:t>
      </w:r>
      <w:r w:rsidRPr="006D2560">
        <w:fldChar w:fldCharType="begin"/>
      </w:r>
      <w:r w:rsidRPr="006D2560">
        <w:instrText xml:space="preserve"> ADDIN ZOTERO_ITEM CSL_CITATION {"citationID":"Izv5eekH","properties":{"formattedCitation":"(Pelto, 2016)","plainCitation":"(Pelto, 2016)","noteIndex":0},"citationItems":[{"id":4729,"uris":["http://zotero.org/users/local/Nb4N2uBJ/items/5SR4LCUV"],"uri":["http://zotero.org/users/local/Nb4N2uBJ/items/5SR4LCUV"],"itemData":{"id":4729,"type":"book","title":"Applied Ethnography: Guidelines for Field Research","collection-title":"Developing Qualitative Inquiry","publisher":"Taylor &amp; Francis","URL":"https://books.google.com/books?id=kN1mDAAAQBAJ","ISBN":"978-1-315-43467-4","author":[{"family":"Pelto","given":"P.J."}],"issued":{"date-parts":[["2016"]]}}}],"schema":"https://github.com/citation-style-language/schema/raw/master/csl-citation.json"} </w:instrText>
      </w:r>
      <w:r w:rsidRPr="006D2560">
        <w:fldChar w:fldCharType="separate"/>
      </w:r>
      <w:r w:rsidRPr="006D2560">
        <w:rPr>
          <w:noProof/>
        </w:rPr>
        <w:t>(Pelto, 2016)</w:t>
      </w:r>
      <w:r w:rsidRPr="006D2560">
        <w:fldChar w:fldCharType="end"/>
      </w:r>
      <w:r w:rsidRPr="006D2560">
        <w:t>.</w:t>
      </w:r>
    </w:p>
    <w:p w14:paraId="046941F1" w14:textId="667794DC" w:rsidR="00D91945" w:rsidRPr="006D2560" w:rsidRDefault="00D91945" w:rsidP="00605712">
      <w:pPr>
        <w:ind w:firstLine="720"/>
      </w:pPr>
      <w:r w:rsidRPr="006D2560">
        <w:t xml:space="preserve">Take a look at an ethnographic map I made </w:t>
      </w:r>
      <w:r>
        <w:t xml:space="preserve">in one of the boat-building workshops where I did my own research </w:t>
      </w:r>
      <w:r w:rsidRPr="006D2560">
        <w:t>(</w:t>
      </w:r>
      <w:r w:rsidRPr="006D2560">
        <w:fldChar w:fldCharType="begin"/>
      </w:r>
      <w:r w:rsidRPr="006D2560">
        <w:instrText xml:space="preserve"> REF _Ref24466069 \h </w:instrText>
      </w:r>
      <w:r w:rsidRPr="006D2560">
        <w:fldChar w:fldCharType="separate"/>
      </w:r>
      <w:r w:rsidR="009729EA" w:rsidRPr="006D2560">
        <w:t xml:space="preserve">Figure </w:t>
      </w:r>
      <w:r w:rsidR="009729EA">
        <w:rPr>
          <w:noProof/>
        </w:rPr>
        <w:t>1</w:t>
      </w:r>
      <w:r w:rsidRPr="006D2560">
        <w:fldChar w:fldCharType="end"/>
      </w:r>
      <w:r w:rsidRPr="006D2560">
        <w:t>)</w:t>
      </w:r>
      <w:r>
        <w:t xml:space="preserve">, which has all </w:t>
      </w:r>
      <w:r w:rsidRPr="006D2560">
        <w:t xml:space="preserve">the </w:t>
      </w:r>
      <w:r>
        <w:t>important</w:t>
      </w:r>
      <w:r w:rsidRPr="006D2560">
        <w:t xml:space="preserve"> tools </w:t>
      </w:r>
      <w:r>
        <w:t xml:space="preserve">and machine </w:t>
      </w:r>
      <w:r w:rsidRPr="006D2560">
        <w:t>labelled</w:t>
      </w:r>
      <w:r>
        <w:t>. N</w:t>
      </w:r>
      <w:r w:rsidRPr="006D2560">
        <w:t>ote the rectangles labelled ‘table saw’, ‘shop saw’, and ‘bandsaw’, the names of tools that my fieldwork participants and I used every day.</w:t>
      </w:r>
    </w:p>
    <w:p w14:paraId="5513749F" w14:textId="77777777" w:rsidR="00D91945" w:rsidRPr="006D2560" w:rsidRDefault="00D91945" w:rsidP="00D91945"/>
    <w:p w14:paraId="666DC8D5" w14:textId="77777777" w:rsidR="00D91945" w:rsidRPr="006D2560" w:rsidRDefault="00D91945" w:rsidP="00D91945">
      <w:pPr>
        <w:jc w:val="center"/>
      </w:pPr>
      <w:r w:rsidRPr="006D2560">
        <w:rPr>
          <w:noProof/>
        </w:rPr>
        <w:lastRenderedPageBreak/>
        <w:drawing>
          <wp:inline distT="0" distB="0" distL="0" distR="0" wp14:anchorId="56E0E613" wp14:editId="0CE7543A">
            <wp:extent cx="4307752" cy="31884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png"/>
                    <pic:cNvPicPr/>
                  </pic:nvPicPr>
                  <pic:blipFill>
                    <a:blip r:embed="rId59">
                      <a:extLst>
                        <a:ext uri="{28A0092B-C50C-407E-A947-70E740481C1C}">
                          <a14:useLocalDpi xmlns:a14="http://schemas.microsoft.com/office/drawing/2010/main" val="0"/>
                        </a:ext>
                      </a:extLst>
                    </a:blip>
                    <a:stretch>
                      <a:fillRect/>
                    </a:stretch>
                  </pic:blipFill>
                  <pic:spPr>
                    <a:xfrm>
                      <a:off x="0" y="0"/>
                      <a:ext cx="4314995" cy="3193834"/>
                    </a:xfrm>
                    <a:prstGeom prst="rect">
                      <a:avLst/>
                    </a:prstGeom>
                  </pic:spPr>
                </pic:pic>
              </a:graphicData>
            </a:graphic>
          </wp:inline>
        </w:drawing>
      </w:r>
    </w:p>
    <w:p w14:paraId="1CBE81C0" w14:textId="46737379" w:rsidR="00D91945" w:rsidRPr="006D2560" w:rsidRDefault="00D91945" w:rsidP="00D91945">
      <w:pPr>
        <w:pStyle w:val="Caption"/>
      </w:pPr>
      <w:bookmarkStart w:id="2" w:name="_Ref24466069"/>
      <w:r w:rsidRPr="006D2560">
        <w:t xml:space="preserve">Figure </w:t>
      </w:r>
      <w:fldSimple w:instr=" SEQ Figure \* ARABIC ">
        <w:r w:rsidR="009729EA">
          <w:rPr>
            <w:noProof/>
          </w:rPr>
          <w:t>1</w:t>
        </w:r>
      </w:fldSimple>
      <w:bookmarkEnd w:id="2"/>
      <w:r w:rsidRPr="006D2560">
        <w:t>: A map of the ship's workshop, from my own doctoral research</w:t>
      </w:r>
    </w:p>
    <w:p w14:paraId="53846B94" w14:textId="77777777" w:rsidR="00D91945" w:rsidRPr="006D2560" w:rsidRDefault="00D91945" w:rsidP="00605712">
      <w:pPr>
        <w:ind w:firstLine="720"/>
      </w:pPr>
      <w:r w:rsidRPr="006D2560">
        <w:t xml:space="preserve">What makes the map above ethnographic, rather than just spatial, is that it also indicates how my participants and I used the space. At the top of the map, you will see two colored circles; these mark the general area in which my colleague Bennie and I would set up our work. As you can see, Bennie – who was much more experienced, having been a carpenter for decades – took up most of the prime space in the workshop, situating himself directly between the most common tools. I, on the other hand, claimed only a corner of the workshop, over </w:t>
      </w:r>
      <w:r>
        <w:t>by</w:t>
      </w:r>
      <w:r w:rsidRPr="006D2560">
        <w:t xml:space="preserve"> the refrigerator where I could not easily be seen. Because I was a new apprentice at the time, I wanted to stay out of sight while I worked on my projects so that no one could see the mistakes I was making.</w:t>
      </w:r>
      <w:r>
        <w:t xml:space="preserve"> These interpersonal aspects of fieldwork, like participants hiding away or taking ownership of an important space, are important for fully understanding cultural interactions, and are usefully captured in a spatial ethnographic map.</w:t>
      </w:r>
    </w:p>
    <w:p w14:paraId="580EF540" w14:textId="77777777" w:rsidR="00D91945" w:rsidRPr="006D2560" w:rsidRDefault="00D91945" w:rsidP="00605712">
      <w:pPr>
        <w:ind w:firstLine="720"/>
      </w:pPr>
      <w:r w:rsidRPr="006D2560">
        <w:t>In my research, because I was studying how people learn professional skills, I mapped out where people at different skill levels established themselves in the workshop and how these patterns changed over time. There are endless other ways I could have mapped out the same space</w:t>
      </w:r>
      <w:r>
        <w:t>, however</w:t>
      </w:r>
      <w:r w:rsidRPr="006D2560">
        <w:t>; for instance, if I ha</w:t>
      </w:r>
      <w:r>
        <w:t>d</w:t>
      </w:r>
      <w:r w:rsidRPr="006D2560">
        <w:t xml:space="preserve"> been researching the effectiveness of the layout of the workshop, I would have marked every place where two carpenters accidentally bumped into each other (which happened all the time). Likewise, if I had primarily been researching social interaction in the workshop, I would have noted the places where my participants would sit at the end of the day, relaxing around the wood-burning stove on make-shift stools. When you make your own ethnographic maps, always remember to keep your research questions in mind</w:t>
      </w:r>
      <w:r>
        <w:t xml:space="preserve"> to</w:t>
      </w:r>
      <w:r w:rsidRPr="006D2560">
        <w:t xml:space="preserve"> ensure that </w:t>
      </w:r>
      <w:r>
        <w:t>your maps</w:t>
      </w:r>
      <w:r w:rsidRPr="006D2560">
        <w:t xml:space="preserve"> </w:t>
      </w:r>
      <w:r>
        <w:t>present information that is highly relevant and support the goals of your research project.</w:t>
      </w:r>
    </w:p>
    <w:p w14:paraId="50E38485" w14:textId="77777777" w:rsidR="00D91945" w:rsidRPr="006D2560" w:rsidRDefault="00D91945" w:rsidP="00D91945"/>
    <w:p w14:paraId="435FCE37" w14:textId="77777777" w:rsidR="00D91945" w:rsidRDefault="00D91945" w:rsidP="00D91945">
      <w:pPr>
        <w:rPr>
          <w:rFonts w:eastAsiaTheme="majorEastAsia"/>
          <w:b/>
          <w:bCs/>
          <w:color w:val="000000" w:themeColor="text1"/>
        </w:rPr>
      </w:pPr>
      <w:r>
        <w:br w:type="page"/>
      </w:r>
    </w:p>
    <w:p w14:paraId="640A7FEE" w14:textId="5162445C" w:rsidR="00D91945" w:rsidRPr="006D2560" w:rsidRDefault="00D91945" w:rsidP="00605712">
      <w:pPr>
        <w:pStyle w:val="Heading2"/>
      </w:pPr>
      <w:r w:rsidRPr="006D2560">
        <w:lastRenderedPageBreak/>
        <w:t>Non-spatial maps</w:t>
      </w:r>
    </w:p>
    <w:p w14:paraId="01DAA941" w14:textId="613B9484" w:rsidR="00D91945" w:rsidRPr="006D2560" w:rsidRDefault="00D91945" w:rsidP="00605712">
      <w:pPr>
        <w:ind w:firstLine="720"/>
      </w:pPr>
      <w:r w:rsidRPr="006D2560">
        <w:t xml:space="preserve">While the most common kind of ethnographic map shows a physical space (like the map in </w:t>
      </w:r>
      <w:r w:rsidRPr="006D2560">
        <w:fldChar w:fldCharType="begin"/>
      </w:r>
      <w:r w:rsidRPr="006D2560">
        <w:instrText xml:space="preserve"> REF _Ref24466069 \h </w:instrText>
      </w:r>
      <w:r w:rsidRPr="006D2560">
        <w:fldChar w:fldCharType="separate"/>
      </w:r>
      <w:r w:rsidR="009729EA" w:rsidRPr="006D2560">
        <w:t xml:space="preserve">Figure </w:t>
      </w:r>
      <w:r w:rsidR="009729EA">
        <w:rPr>
          <w:noProof/>
        </w:rPr>
        <w:t>1</w:t>
      </w:r>
      <w:r w:rsidRPr="006D2560">
        <w:fldChar w:fldCharType="end"/>
      </w:r>
      <w:r w:rsidRPr="006D2560">
        <w:t>), you can use maps to illustrate a variety of non-spatial phenomena as well.</w:t>
      </w:r>
      <w:r>
        <w:t xml:space="preserve"> The following three sections will each describe a different kind of non-spatial mapping: life history maps, organizational maps, and process maps. Keep in mind that this is not a comprehensive list of mapping techniques, and that you should feel free to experiment with mapping in your own research to capture and interpret anything that you feel is best conveyed with images and diagrams, rather than just through text.</w:t>
      </w:r>
    </w:p>
    <w:p w14:paraId="3C9BC348" w14:textId="77777777" w:rsidR="00D91945" w:rsidRPr="006D2560" w:rsidRDefault="00D91945" w:rsidP="00D91945"/>
    <w:p w14:paraId="085DE462" w14:textId="5B511A13" w:rsidR="00D91945" w:rsidRPr="006D2560" w:rsidRDefault="00D91945" w:rsidP="00605712">
      <w:pPr>
        <w:pStyle w:val="Heading3"/>
      </w:pPr>
      <w:r w:rsidRPr="006D2560">
        <w:t>Life history maps</w:t>
      </w:r>
    </w:p>
    <w:p w14:paraId="150F3774" w14:textId="74FEB3F7" w:rsidR="00D91945" w:rsidRDefault="00D91945" w:rsidP="00605712">
      <w:pPr>
        <w:ind w:firstLine="720"/>
      </w:pPr>
      <w:r w:rsidRPr="006D2560">
        <w:t xml:space="preserve">One useful non-spatial mapping technique is making ‘life history maps’, timelines on which your participants can indicate key events that relate to your research questions. </w:t>
      </w:r>
      <w:r>
        <w:t>In</w:t>
      </w:r>
      <w:r w:rsidRPr="006D2560">
        <w:t xml:space="preserve"> my own research, I asked my participants to map out the history of their careers as boat builders, indicating where they worked and what they learned. In the map below (</w:t>
      </w:r>
      <w:r w:rsidRPr="006D2560">
        <w:fldChar w:fldCharType="begin"/>
      </w:r>
      <w:r w:rsidRPr="006D2560">
        <w:instrText xml:space="preserve"> REF _Ref24467656 \h </w:instrText>
      </w:r>
      <w:r w:rsidRPr="006D2560">
        <w:fldChar w:fldCharType="separate"/>
      </w:r>
      <w:r w:rsidR="009729EA" w:rsidRPr="006D2560">
        <w:t xml:space="preserve">Figure </w:t>
      </w:r>
      <w:r w:rsidR="009729EA">
        <w:rPr>
          <w:noProof/>
        </w:rPr>
        <w:t>2</w:t>
      </w:r>
      <w:r w:rsidRPr="006D2560">
        <w:fldChar w:fldCharType="end"/>
      </w:r>
      <w:r w:rsidRPr="006D2560">
        <w:t>), a master boat builder named Lou drew a complicated map that shows the various phases of his career. Using a selection of colored mark</w:t>
      </w:r>
      <w:r>
        <w:t>ers, Lou indicated the different communities he saw himself as being a part of as his career progressed – brown was his community of school friends, green was his family, and purple indicated the wooden boat building community he belonged to when I met him.</w:t>
      </w:r>
    </w:p>
    <w:p w14:paraId="03CF2B4B" w14:textId="77777777" w:rsidR="00D91945" w:rsidRPr="006D2560" w:rsidRDefault="00D91945" w:rsidP="00D91945"/>
    <w:p w14:paraId="3DBCA108" w14:textId="77777777" w:rsidR="00D91945" w:rsidRPr="006D2560" w:rsidRDefault="00D91945" w:rsidP="00D91945">
      <w:r w:rsidRPr="006D2560">
        <w:rPr>
          <w:noProof/>
        </w:rPr>
        <w:drawing>
          <wp:inline distT="0" distB="0" distL="0" distR="0" wp14:anchorId="2196E913" wp14:editId="357833A0">
            <wp:extent cx="5943600" cy="32753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11-12 at 4.10.55 PM.png"/>
                    <pic:cNvPicPr/>
                  </pic:nvPicPr>
                  <pic:blipFill>
                    <a:blip r:embed="rId60">
                      <a:extLst>
                        <a:ext uri="{28A0092B-C50C-407E-A947-70E740481C1C}">
                          <a14:useLocalDpi xmlns:a14="http://schemas.microsoft.com/office/drawing/2010/main" val="0"/>
                        </a:ext>
                      </a:extLst>
                    </a:blip>
                    <a:stretch>
                      <a:fillRect/>
                    </a:stretch>
                  </pic:blipFill>
                  <pic:spPr>
                    <a:xfrm>
                      <a:off x="0" y="0"/>
                      <a:ext cx="5943600" cy="3275330"/>
                    </a:xfrm>
                    <a:prstGeom prst="rect">
                      <a:avLst/>
                    </a:prstGeom>
                  </pic:spPr>
                </pic:pic>
              </a:graphicData>
            </a:graphic>
          </wp:inline>
        </w:drawing>
      </w:r>
    </w:p>
    <w:p w14:paraId="087A8002" w14:textId="560DDCB6" w:rsidR="00D91945" w:rsidRDefault="00D91945" w:rsidP="00D91945">
      <w:pPr>
        <w:pStyle w:val="Caption"/>
      </w:pPr>
      <w:bookmarkStart w:id="3" w:name="_Ref24467656"/>
      <w:r w:rsidRPr="006D2560">
        <w:t xml:space="preserve">Figure </w:t>
      </w:r>
      <w:fldSimple w:instr=" SEQ Figure \* ARABIC ">
        <w:r w:rsidR="009729EA">
          <w:rPr>
            <w:noProof/>
          </w:rPr>
          <w:t>2</w:t>
        </w:r>
      </w:fldSimple>
      <w:bookmarkEnd w:id="3"/>
      <w:r w:rsidRPr="006D2560">
        <w:t>: Lou's career map</w:t>
      </w:r>
    </w:p>
    <w:p w14:paraId="5E8D86DF" w14:textId="77777777" w:rsidR="00D91945" w:rsidRDefault="00D91945" w:rsidP="00D91945"/>
    <w:p w14:paraId="767BF10D" w14:textId="77777777" w:rsidR="00D91945" w:rsidRDefault="00D91945" w:rsidP="00605712">
      <w:pPr>
        <w:ind w:firstLine="720"/>
      </w:pPr>
      <w:r>
        <w:t xml:space="preserve">As you can see from the complicated map above, I let my fieldwork participants represent their own life histories in this exercise, and some (like Lou) came up with </w:t>
      </w:r>
      <w:proofErr w:type="gramStart"/>
      <w:r>
        <w:t>fairly complex</w:t>
      </w:r>
      <w:proofErr w:type="gramEnd"/>
      <w:r>
        <w:t xml:space="preserve"> ways to draw out their stories. The great advantage of having your participants draw </w:t>
      </w:r>
      <w:r>
        <w:lastRenderedPageBreak/>
        <w:t xml:space="preserve">their own maps is that they get to draw out their life histories exactly as they understand them, using whatever format they think makes the most sense. A drawback of this technique, however, is that no two maps are every directly comparable, since everyone creates their map in a unique way. If you want </w:t>
      </w:r>
      <w:proofErr w:type="gramStart"/>
      <w:r>
        <w:t>all of</w:t>
      </w:r>
      <w:proofErr w:type="gramEnd"/>
      <w:r>
        <w:t xml:space="preserve"> your maps to make sense as you look at them side-by-side, you should either specify precise instructions for your participants or draw the map yourself as your participants narrate their life story. If comparability between maps is not a major concern for your research, then letting people draw their own maps is a great way to get graphical representations that you would never have imagined on your own.</w:t>
      </w:r>
    </w:p>
    <w:p w14:paraId="7B7D3ECF" w14:textId="4D8FBC21" w:rsidR="00D91945" w:rsidRDefault="00D91945" w:rsidP="00605712">
      <w:pPr>
        <w:ind w:firstLine="720"/>
      </w:pPr>
      <w:r>
        <w:t>Not all life history maps display stages in a person’s career, although the prominence of work in people’s lives usually means that jobs appear somewhere on a life history map. If you want to record how people moved around over the course of their lives, you might consider combining a life history map with a spatial map, drawing lines of movement over a map of the state, country, or whole world. Alternately, if your research questions refer to figures your participants can measure (or even estimate), you might want to use a life history map that looks more like a line graph, with dates on the X axis and something like income or personal happiness on the Y axis.</w:t>
      </w:r>
    </w:p>
    <w:p w14:paraId="4580051E" w14:textId="77777777" w:rsidR="00605712" w:rsidRDefault="00605712" w:rsidP="00D91945">
      <w:pPr>
        <w:pStyle w:val="Heading3"/>
      </w:pPr>
    </w:p>
    <w:p w14:paraId="0EDF84BC" w14:textId="5E999899" w:rsidR="00D91945" w:rsidRDefault="00D91945" w:rsidP="00D91945">
      <w:pPr>
        <w:pStyle w:val="Heading3"/>
      </w:pPr>
      <w:r>
        <w:t>Organizational maps</w:t>
      </w:r>
    </w:p>
    <w:p w14:paraId="3BA7FB38" w14:textId="77777777" w:rsidR="00D91945" w:rsidRPr="000733FE" w:rsidRDefault="00D91945" w:rsidP="00605712">
      <w:pPr>
        <w:ind w:firstLine="720"/>
      </w:pPr>
      <w:r>
        <w:t>Another helpful mapping technique is called ‘organizational mapping’, in which the researcher creates a graphical representation of an organization, community, family, or other social structure. These maps are helpful for two reasons: First, they show the reader who the key players in the ethnography are, and how those people relate to one another. Second, organizational maps illustrate identities and power relationships, helping the reader to understand the social structures that govern the participants’ behavior.</w:t>
      </w:r>
    </w:p>
    <w:p w14:paraId="365D5E59" w14:textId="75E4C5AF" w:rsidR="00D91945" w:rsidRDefault="00D91945" w:rsidP="00D91945">
      <w:pPr>
        <w:pStyle w:val="Caption"/>
      </w:pPr>
      <w:bookmarkStart w:id="4" w:name="_Ref24468502"/>
      <w:r>
        <w:t xml:space="preserve">Figure </w:t>
      </w:r>
      <w:fldSimple w:instr=" SEQ Figure \* ARABIC ">
        <w:r w:rsidR="009729EA">
          <w:rPr>
            <w:noProof/>
          </w:rPr>
          <w:t>3</w:t>
        </w:r>
      </w:fldSimple>
      <w:bookmarkEnd w:id="4"/>
      <w:r>
        <w:t>: An organizational map of one of my fieldwork sites</w:t>
      </w:r>
      <w:r>
        <w:rPr>
          <w:noProof/>
        </w:rPr>
        <w:drawing>
          <wp:anchor distT="0" distB="0" distL="114300" distR="114300" simplePos="0" relativeHeight="251659264" behindDoc="1" locked="0" layoutInCell="1" allowOverlap="1" wp14:anchorId="5F616407" wp14:editId="364757C1">
            <wp:simplePos x="0" y="0"/>
            <wp:positionH relativeFrom="margin">
              <wp:align>center</wp:align>
            </wp:positionH>
            <wp:positionV relativeFrom="paragraph">
              <wp:posOffset>0</wp:posOffset>
            </wp:positionV>
            <wp:extent cx="5943600" cy="2910840"/>
            <wp:effectExtent l="0" t="0" r="0" b="0"/>
            <wp:wrapTight wrapText="bothSides">
              <wp:wrapPolygon edited="0">
                <wp:start x="0" y="0"/>
                <wp:lineTo x="0" y="21487"/>
                <wp:lineTo x="21554" y="21487"/>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3.png"/>
                    <pic:cNvPicPr/>
                  </pic:nvPicPr>
                  <pic:blipFill>
                    <a:blip r:embed="rId61">
                      <a:extLst>
                        <a:ext uri="{28A0092B-C50C-407E-A947-70E740481C1C}">
                          <a14:useLocalDpi xmlns:a14="http://schemas.microsoft.com/office/drawing/2010/main" val="0"/>
                        </a:ext>
                      </a:extLst>
                    </a:blip>
                    <a:stretch>
                      <a:fillRect/>
                    </a:stretch>
                  </pic:blipFill>
                  <pic:spPr>
                    <a:xfrm>
                      <a:off x="0" y="0"/>
                      <a:ext cx="5943600" cy="2910840"/>
                    </a:xfrm>
                    <a:prstGeom prst="rect">
                      <a:avLst/>
                    </a:prstGeom>
                  </pic:spPr>
                </pic:pic>
              </a:graphicData>
            </a:graphic>
            <wp14:sizeRelH relativeFrom="page">
              <wp14:pctWidth>0</wp14:pctWidth>
            </wp14:sizeRelH>
            <wp14:sizeRelV relativeFrom="page">
              <wp14:pctHeight>0</wp14:pctHeight>
            </wp14:sizeRelV>
          </wp:anchor>
        </w:drawing>
      </w:r>
    </w:p>
    <w:p w14:paraId="36F94F5A" w14:textId="4D760874" w:rsidR="00D91945" w:rsidRDefault="00D91945" w:rsidP="00D91945">
      <w:r>
        <w:t>In the map above (</w:t>
      </w:r>
      <w:r>
        <w:fldChar w:fldCharType="begin"/>
      </w:r>
      <w:r>
        <w:instrText xml:space="preserve"> REF _Ref24468502 \h </w:instrText>
      </w:r>
      <w:r>
        <w:fldChar w:fldCharType="separate"/>
      </w:r>
      <w:r w:rsidR="009729EA">
        <w:t xml:space="preserve">Figure </w:t>
      </w:r>
      <w:r w:rsidR="009729EA">
        <w:rPr>
          <w:noProof/>
        </w:rPr>
        <w:t>3</w:t>
      </w:r>
      <w:r>
        <w:fldChar w:fldCharType="end"/>
      </w:r>
      <w:r>
        <w:t xml:space="preserve">), I displayed several of my colleagues in the boat workshop, showing their professional roles and where they fit within the organizational hierarchy. As you can see, </w:t>
      </w:r>
      <w:r>
        <w:lastRenderedPageBreak/>
        <w:t xml:space="preserve">the map immediately conveys the sense that the workshop had a tight hierarchical structure, with one person on top and </w:t>
      </w:r>
      <w:proofErr w:type="gramStart"/>
      <w:r>
        <w:t>increasingly-larger</w:t>
      </w:r>
      <w:proofErr w:type="gramEnd"/>
      <w:r>
        <w:t xml:space="preserve"> groups below them. Color-coding the different professional roles helps the reader to immediately understand that the volunteers in the workshop (orange) far outnumber the permanent staff (black and red), indicating a key aspect of the power dynamic in the workshop. Maps like this can be comprehensive – that is, they can list every person in the organization – or they can be representational, like this one, where only the most important players are mentioned by name. The empty circles in the map above indicate people who were present in the workshop during my research, but whom I did not observe directly; it is helpful to give the reader this overview of your fieldwork setting in addition to specifics about people you focus on in the written text.</w:t>
      </w:r>
    </w:p>
    <w:p w14:paraId="08040D60" w14:textId="0B1CC759" w:rsidR="00D91945" w:rsidRDefault="00D91945" w:rsidP="00605712">
      <w:pPr>
        <w:ind w:firstLine="720"/>
      </w:pPr>
      <w:r>
        <w:t xml:space="preserve">When you are making your own organizational maps, make sure to consider how the overall shape of the map relates to the information it displays. Since the map in </w:t>
      </w:r>
      <w:r>
        <w:fldChar w:fldCharType="begin"/>
      </w:r>
      <w:r>
        <w:instrText xml:space="preserve"> REF _Ref24468502 \h </w:instrText>
      </w:r>
      <w:r>
        <w:fldChar w:fldCharType="separate"/>
      </w:r>
      <w:r w:rsidR="009729EA">
        <w:t xml:space="preserve">Figure </w:t>
      </w:r>
      <w:r w:rsidR="009729EA">
        <w:rPr>
          <w:noProof/>
        </w:rPr>
        <w:t>3</w:t>
      </w:r>
      <w:r>
        <w:fldChar w:fldCharType="end"/>
      </w:r>
      <w:r>
        <w:t xml:space="preserve"> shows a hierarchical structure, a pyramid was an obvious choice. If you are mapping a co-operative organization where everyone has equal decision-making power, however, you may prefer to arrange your icons in a circle. For organizations that share members, such as project groups within a corporation, you may choose to use several overlapping circles, resembling a Venn diagram. Whatever shape you choose, make sure that it immediately conveys some significant aspect of the organization you are representing, and that the aspect being displayed is relevant to your research questions.</w:t>
      </w:r>
    </w:p>
    <w:p w14:paraId="18D839EB" w14:textId="77777777" w:rsidR="00605712" w:rsidRDefault="00605712" w:rsidP="00D91945">
      <w:pPr>
        <w:pStyle w:val="Heading3"/>
      </w:pPr>
    </w:p>
    <w:p w14:paraId="1E81C803" w14:textId="41E5681F" w:rsidR="00D91945" w:rsidRDefault="00D91945" w:rsidP="00D91945">
      <w:pPr>
        <w:pStyle w:val="Heading3"/>
      </w:pPr>
      <w:r>
        <w:t>Process maps</w:t>
      </w:r>
    </w:p>
    <w:p w14:paraId="5F074340" w14:textId="77777777" w:rsidR="00D91945" w:rsidRDefault="00D91945" w:rsidP="00605712">
      <w:pPr>
        <w:ind w:firstLine="720"/>
      </w:pPr>
      <w:r>
        <w:t xml:space="preserve">An important aspect of ethnographic research to keep in mind is that human beings </w:t>
      </w:r>
      <w:r>
        <w:rPr>
          <w:i/>
          <w:iCs/>
        </w:rPr>
        <w:t>do</w:t>
      </w:r>
      <w:r>
        <w:t xml:space="preserve"> things. Ethnography is never static; it describes people moving, making, and generally getting things done. Sometimes, you will need to map out these processes for your reader, who might have a hard time understanding your written description alone. Take for example the following description of knot-tying from my project:</w:t>
      </w:r>
    </w:p>
    <w:p w14:paraId="34ABE490" w14:textId="77777777" w:rsidR="00D91945" w:rsidRDefault="00D91945" w:rsidP="00D91945"/>
    <w:p w14:paraId="416C3AE2" w14:textId="77777777" w:rsidR="00D91945" w:rsidRDefault="00D91945" w:rsidP="00D91945">
      <w:pPr>
        <w:pStyle w:val="Quote"/>
      </w:pPr>
      <w:r w:rsidRPr="00085991">
        <w:t xml:space="preserve">To teach the knot, the beginner is given a mnemonic story of a rabbit popping out of a hole, running around a tree, then retreating back into the hole, in which the rabbit is the end of the rope (in blue in Figure </w:t>
      </w:r>
      <w:r>
        <w:t>[</w:t>
      </w:r>
      <w:r w:rsidRPr="00085991">
        <w:t>4</w:t>
      </w:r>
      <w:r>
        <w:t>]</w:t>
      </w:r>
      <w:r w:rsidRPr="00085991">
        <w:t>, left), the hole is a loop in the rope’s middle (red), and the tree is the ‘standing end’, the section of rope not being manipulated (green). This story is recited during bowline-tying until the novice can see the different parts of the knot as it develops, at which point the procedure becomes obvious and the mnemonic is no longer needed.</w:t>
      </w:r>
      <w:r>
        <w:t xml:space="preserve"> </w:t>
      </w:r>
      <w:r>
        <w:fldChar w:fldCharType="begin"/>
      </w:r>
      <w:r>
        <w:instrText xml:space="preserve"> ADDIN ZOTERO_ITEM CSL_CITATION {"citationID":"pXAiaOD6","properties":{"formattedCitation":"(Martin, 2019, p. 199)","plainCitation":"(Martin, 2019, p. 199)","noteIndex":0},"citationItems":[{"id":4575,"uris":["http://zotero.org/users/local/Nb4N2uBJ/items/IZLIA2L2"],"uri":["http://zotero.org/users/local/Nb4N2uBJ/items/IZLIA2L2"],"itemData":{"id":4575,"type":"thesis","title":"Getting ‘the feel’: Craft learning as perceptual transformation","publisher":"Oxford University","genre":"Doctoral dissertation","abstract":"Becoming a wooden boat builder requires ‘getting the feel’ for the tools and materials of the trade by learning to perceive these objects in terms of their practical purposes in the workshop. In this project, I explore such learning from a sensory-ethnographic perspective, journaling how my own perceptual experience transforms over six months of work building boats. To supplement this first-person method, I carry out participant observations and long-form interviews with boat builders, paying particular attention to the ways in which newcomers to the workshop are guided through the learning process. I interpret the rich accounts of learning that result through concepts from philosophy, exploring how the perception that I record can be seen to demonstrate a fundamental mode of human understanding. Using Heidegger’s idea of ‘being-in-the-world’, I show how learning entails a constant re-alignment of understanding through which individuals continually rediscover their human capacity for meaning-making. By investigating the link between perception and understanding in the craft workshop, I contribute to theoretical debates over the nature of human cognition while also illuminating the complex and often-overlooked cognitive processes that underpin practical work.\nMy findings show how ‘getting the feel’ entails learning to perceive practical objects in new ways, recognising aspects of tools and materials that are invisible to the unaccustomed viewer. In some cases, ‘the feel’ involves specific combinations of objects appearing together in terms of work that they perform, rather than separately as discrete entities. In other cases, it entails tools and materials appearing to transform, splitting apart or combining in perception as their defining practices demand. Throughout the investigation, I show how understanding varies between the three workshops, and how each contains its own mechanisms for introducing the newcomer to situated ways of seeing and feeling. Despite their differences, however, the workshops share three main modes of learning: self-motivated exploration, expert guidance, and participation in a community designed to reproduce the skills and understanding it requires of its future members. By continually participating in each of these three modes, boat builders accumulate expertise as they move between settings and progress within them, ‘getting the feel’ for gradually-shifting constellations of materials, people, and practices.","author":[{"family":"Martin","given":"Tom"}],"issued":{"date-parts":[["2019"]]}},"locator":"199"}],"schema":"https://github.com/citation-style-language/schema/raw/master/csl-citation.json"} </w:instrText>
      </w:r>
      <w:r>
        <w:fldChar w:fldCharType="separate"/>
      </w:r>
      <w:r>
        <w:rPr>
          <w:noProof/>
        </w:rPr>
        <w:t>(Martin, 2019, p. 199)</w:t>
      </w:r>
      <w:r>
        <w:fldChar w:fldCharType="end"/>
      </w:r>
    </w:p>
    <w:p w14:paraId="701BD062" w14:textId="77777777" w:rsidR="00D91945" w:rsidRPr="00085991" w:rsidRDefault="00D91945" w:rsidP="00D91945"/>
    <w:p w14:paraId="76162919" w14:textId="6FC408BE" w:rsidR="00D91945" w:rsidRDefault="00D91945" w:rsidP="00D91945">
      <w:r>
        <w:t>On its own, the written description above is hard to follow. Looking at the accompanying pictures (</w:t>
      </w:r>
      <w:r>
        <w:fldChar w:fldCharType="begin"/>
      </w:r>
      <w:r>
        <w:instrText xml:space="preserve"> REF _Ref24469996 \h </w:instrText>
      </w:r>
      <w:r>
        <w:fldChar w:fldCharType="separate"/>
      </w:r>
      <w:r w:rsidR="009729EA">
        <w:t xml:space="preserve">Figure </w:t>
      </w:r>
      <w:r w:rsidR="009729EA">
        <w:rPr>
          <w:noProof/>
        </w:rPr>
        <w:t>4</w:t>
      </w:r>
      <w:r>
        <w:fldChar w:fldCharType="end"/>
      </w:r>
      <w:r>
        <w:t>), however, it makes a lot more sense:</w:t>
      </w:r>
    </w:p>
    <w:p w14:paraId="4B339AB1" w14:textId="77777777" w:rsidR="00D91945" w:rsidRDefault="00D91945" w:rsidP="00D91945"/>
    <w:p w14:paraId="15C266D3" w14:textId="7829222A" w:rsidR="00D91945" w:rsidRPr="00085991" w:rsidRDefault="00D91945" w:rsidP="00D91945">
      <w:pPr>
        <w:pStyle w:val="Caption"/>
      </w:pPr>
      <w:bookmarkStart w:id="5" w:name="_Ref24469996"/>
      <w:r>
        <w:rPr>
          <w:noProof/>
        </w:rPr>
        <w:lastRenderedPageBreak/>
        <w:drawing>
          <wp:anchor distT="0" distB="0" distL="114300" distR="114300" simplePos="0" relativeHeight="251660288" behindDoc="1" locked="0" layoutInCell="1" allowOverlap="1" wp14:anchorId="69FE6093" wp14:editId="5ECBE2F5">
            <wp:simplePos x="0" y="0"/>
            <wp:positionH relativeFrom="margin">
              <wp:align>center</wp:align>
            </wp:positionH>
            <wp:positionV relativeFrom="paragraph">
              <wp:posOffset>0</wp:posOffset>
            </wp:positionV>
            <wp:extent cx="5144135" cy="3121025"/>
            <wp:effectExtent l="0" t="0" r="0" b="317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4.png"/>
                    <pic:cNvPicPr/>
                  </pic:nvPicPr>
                  <pic:blipFill>
                    <a:blip r:embed="rId62">
                      <a:extLst>
                        <a:ext uri="{28A0092B-C50C-407E-A947-70E740481C1C}">
                          <a14:useLocalDpi xmlns:a14="http://schemas.microsoft.com/office/drawing/2010/main" val="0"/>
                        </a:ext>
                      </a:extLst>
                    </a:blip>
                    <a:stretch>
                      <a:fillRect/>
                    </a:stretch>
                  </pic:blipFill>
                  <pic:spPr>
                    <a:xfrm>
                      <a:off x="0" y="0"/>
                      <a:ext cx="5144135" cy="3121025"/>
                    </a:xfrm>
                    <a:prstGeom prst="rect">
                      <a:avLst/>
                    </a:prstGeom>
                  </pic:spPr>
                </pic:pic>
              </a:graphicData>
            </a:graphic>
            <wp14:sizeRelH relativeFrom="page">
              <wp14:pctWidth>0</wp14:pctWidth>
            </wp14:sizeRelH>
            <wp14:sizeRelV relativeFrom="page">
              <wp14:pctHeight>0</wp14:pctHeight>
            </wp14:sizeRelV>
          </wp:anchor>
        </w:drawing>
      </w:r>
      <w:r>
        <w:t xml:space="preserve">Figure </w:t>
      </w:r>
      <w:fldSimple w:instr=" SEQ Figure \* ARABIC ">
        <w:r w:rsidR="009729EA">
          <w:rPr>
            <w:noProof/>
          </w:rPr>
          <w:t>4</w:t>
        </w:r>
      </w:fldSimple>
      <w:bookmarkEnd w:id="5"/>
      <w:r>
        <w:t>: A process map of knot-tying</w:t>
      </w:r>
    </w:p>
    <w:p w14:paraId="5DEF5D0E" w14:textId="3FAF8E88" w:rsidR="00D91945" w:rsidRDefault="00D91945" w:rsidP="00605712">
      <w:pPr>
        <w:ind w:firstLine="720"/>
      </w:pPr>
      <w:r>
        <w:t xml:space="preserve">The left-hand image in </w:t>
      </w:r>
      <w:r>
        <w:fldChar w:fldCharType="begin"/>
      </w:r>
      <w:r>
        <w:instrText xml:space="preserve"> REF _Ref24469996 \h </w:instrText>
      </w:r>
      <w:r>
        <w:fldChar w:fldCharType="separate"/>
      </w:r>
      <w:r w:rsidR="009729EA">
        <w:t xml:space="preserve">Figure </w:t>
      </w:r>
      <w:r w:rsidR="009729EA">
        <w:rPr>
          <w:noProof/>
        </w:rPr>
        <w:t>4</w:t>
      </w:r>
      <w:r>
        <w:fldChar w:fldCharType="end"/>
      </w:r>
      <w:r>
        <w:t xml:space="preserve"> is overlaid with three colored lines, indicating the different parts of the knot that my participant is tying. This image may strike you at first as being a photo illustration, rather than a map, but remember that ethnographic maps are defined by the recording of human action and interaction in space or over time; from that perspective, mapping the movements of a person’s hands as they do culturally-significant work is certainly an example of ethnographic process mapping.</w:t>
      </w:r>
    </w:p>
    <w:p w14:paraId="05176E45" w14:textId="77777777" w:rsidR="00D91945" w:rsidRDefault="00D91945" w:rsidP="00605712">
      <w:pPr>
        <w:ind w:firstLine="720"/>
      </w:pPr>
      <w:r>
        <w:t>In the ethnography of work, process mapping is often essential for conveying the complex activities within productive occupations. You might be interested, like I was, in recording the steps in a skillful activity. Alternately, consider recording how people interact with machines at their jobs, or how logistical supply chains keep the workplace running. Each of these processes are more clearly represented to your reader in images, since they have several inter-locking activities happening in parallel.</w:t>
      </w:r>
    </w:p>
    <w:p w14:paraId="6EEE0BEE" w14:textId="77777777" w:rsidR="00D91945" w:rsidRDefault="00D91945" w:rsidP="00D91945"/>
    <w:p w14:paraId="3D4C9283" w14:textId="77777777" w:rsidR="00D91945" w:rsidRDefault="00D91945" w:rsidP="00D91945">
      <w:pPr>
        <w:pStyle w:val="Heading2"/>
      </w:pPr>
      <w:r>
        <w:t>Map-making techniques</w:t>
      </w:r>
    </w:p>
    <w:p w14:paraId="5D2634E0" w14:textId="77777777" w:rsidR="00D91945" w:rsidRDefault="00D91945" w:rsidP="00605712">
      <w:pPr>
        <w:ind w:firstLine="360"/>
      </w:pPr>
      <w:r>
        <w:t xml:space="preserve">Now that you know some of the different kinds of ethnographic maps available to you, how do you </w:t>
      </w:r>
      <w:proofErr w:type="gramStart"/>
      <w:r>
        <w:t>actually go</w:t>
      </w:r>
      <w:proofErr w:type="gramEnd"/>
      <w:r>
        <w:t xml:space="preserve"> about making one? As you have probably guessed, most ethnographers do not have the resources to bring advanced cartography equipment into the field – and even if they could afford such luxuries, they would generally be too busy conducting participant observation to use them. Luckily, ethnographic maps are not primarily concerned with spatial precision; that is, measuring distances within the workshop down to a quarter of an inch is not nearly as important for an ethnography as recording how, when, and where people move throughout a workplace. Here are some suggestions for how you might collect the information you need for an ethnographic map:</w:t>
      </w:r>
    </w:p>
    <w:p w14:paraId="1DC7610D" w14:textId="77777777" w:rsidR="00D91945" w:rsidRDefault="00D91945" w:rsidP="00D91945"/>
    <w:p w14:paraId="04E2E3E0" w14:textId="77777777" w:rsidR="00D91945" w:rsidRDefault="00D91945" w:rsidP="00C23CDB">
      <w:pPr>
        <w:pStyle w:val="ListParagraph"/>
        <w:numPr>
          <w:ilvl w:val="0"/>
          <w:numId w:val="27"/>
        </w:numPr>
      </w:pPr>
      <w:r w:rsidRPr="00DD42B6">
        <w:rPr>
          <w:i/>
          <w:iCs/>
        </w:rPr>
        <w:lastRenderedPageBreak/>
        <w:t>Work from pictures</w:t>
      </w:r>
      <w:r>
        <w:t xml:space="preserve">: You may not have time to sit down and draw out the maps you want while you are fully immersed in fieldwork. Instead, consider taking as many pictures as possible, then reconstructing a map of the fieldwork environment later at home. If you have something of a fixed size handy (e.g., a </w:t>
      </w:r>
      <w:proofErr w:type="gramStart"/>
      <w:r>
        <w:t>yard-stick</w:t>
      </w:r>
      <w:proofErr w:type="gramEnd"/>
      <w:r>
        <w:t>) position it in your pictures to get a sense of scale</w:t>
      </w:r>
    </w:p>
    <w:p w14:paraId="0F4CCC0A" w14:textId="77777777" w:rsidR="00D91945" w:rsidRDefault="00D91945" w:rsidP="00D91945">
      <w:pPr>
        <w:pStyle w:val="ListParagraph"/>
      </w:pPr>
    </w:p>
    <w:p w14:paraId="103C4FF0" w14:textId="77777777" w:rsidR="00D91945" w:rsidRDefault="00D91945" w:rsidP="00C23CDB">
      <w:pPr>
        <w:pStyle w:val="ListParagraph"/>
        <w:numPr>
          <w:ilvl w:val="0"/>
          <w:numId w:val="27"/>
        </w:numPr>
      </w:pPr>
      <w:r>
        <w:rPr>
          <w:i/>
          <w:iCs/>
        </w:rPr>
        <w:t>Use video</w:t>
      </w:r>
      <w:r w:rsidRPr="001C2976">
        <w:t>:</w:t>
      </w:r>
      <w:r>
        <w:t xml:space="preserve"> If your participants consent to being video recorded, you can try to place your camera in such a way that it captures an overhead view of your fieldwork setting; if you are in an office, resting it over a door jamb will give you a birds-eye view of movement between cubicles. Speeding up this video when you watch it at home will give you a good sense of how people move around during the course of the </w:t>
      </w:r>
      <w:proofErr w:type="gramStart"/>
      <w:r>
        <w:t>day, and</w:t>
      </w:r>
      <w:proofErr w:type="gramEnd"/>
      <w:r>
        <w:t xml:space="preserve"> will help you to capture this movement on maps of your own making.</w:t>
      </w:r>
    </w:p>
    <w:p w14:paraId="74D3556B" w14:textId="77777777" w:rsidR="00D91945" w:rsidRDefault="00D91945" w:rsidP="00D91945">
      <w:pPr>
        <w:pStyle w:val="ListParagraph"/>
      </w:pPr>
    </w:p>
    <w:p w14:paraId="6A80E2A7" w14:textId="77777777" w:rsidR="00D91945" w:rsidRDefault="00D91945" w:rsidP="00C23CDB">
      <w:pPr>
        <w:pStyle w:val="ListParagraph"/>
        <w:numPr>
          <w:ilvl w:val="0"/>
          <w:numId w:val="27"/>
        </w:numPr>
      </w:pPr>
      <w:r w:rsidRPr="001C2976">
        <w:rPr>
          <w:i/>
          <w:iCs/>
        </w:rPr>
        <w:t>Use copyright-free resources</w:t>
      </w:r>
      <w:r>
        <w:t xml:space="preserve">: Many existing maps are in the public domain, meaning that you can use them for your own research purposes without paying anyone. If you want to track someone’s movement across the country over the course of their career, you may consider downloading a copyright-free map beforehand as a template, then drawing onto that. The important part to this process is making sure that the image is free to use </w:t>
      </w:r>
      <w:r>
        <w:rPr>
          <w:i/>
          <w:iCs/>
        </w:rPr>
        <w:t xml:space="preserve">and </w:t>
      </w:r>
      <w:r>
        <w:t xml:space="preserve">free to modify for your own purposes; check with the </w:t>
      </w:r>
      <w:hyperlink r:id="rId63" w:history="1">
        <w:r w:rsidRPr="001C2976">
          <w:rPr>
            <w:rStyle w:val="Hyperlink"/>
          </w:rPr>
          <w:t>Open Source Initiative</w:t>
        </w:r>
      </w:hyperlink>
      <w:r>
        <w:t xml:space="preserve"> to make sure that the license for an image allows you to do what you want to do.</w:t>
      </w:r>
    </w:p>
    <w:p w14:paraId="6D841960" w14:textId="77777777" w:rsidR="00D91945" w:rsidRDefault="00D91945" w:rsidP="00D91945">
      <w:pPr>
        <w:pStyle w:val="ListParagraph"/>
      </w:pPr>
    </w:p>
    <w:p w14:paraId="7FCE699D" w14:textId="77777777" w:rsidR="00D91945" w:rsidRDefault="00D91945" w:rsidP="00C23CDB">
      <w:pPr>
        <w:pStyle w:val="ListParagraph"/>
        <w:numPr>
          <w:ilvl w:val="0"/>
          <w:numId w:val="27"/>
        </w:numPr>
      </w:pPr>
      <w:r w:rsidRPr="00C86099">
        <w:rPr>
          <w:i/>
          <w:iCs/>
        </w:rPr>
        <w:t>Collaborate with your participants</w:t>
      </w:r>
      <w:r>
        <w:t>: In most instances, your participants will have a better sense of important landscapes, processes, and organizational features than you ever will. Consequently, you might want to ask your research participants to make the maps with you, or even for you (assuming this does not impose too much of a burden). Normally these will be simple sketches of how they understand the features of the world that you are asking them about, rather than full-blown visualizations – you can re-interpret the maps you collect later to make them clearer to the reader, or simply include them alongside your text as-is.</w:t>
      </w:r>
    </w:p>
    <w:p w14:paraId="2CB6A20C" w14:textId="77777777" w:rsidR="00D91945" w:rsidRDefault="00D91945" w:rsidP="00D91945"/>
    <w:p w14:paraId="7573837E" w14:textId="77777777" w:rsidR="00D91945" w:rsidRDefault="00D91945" w:rsidP="00D91945">
      <w:pPr>
        <w:pStyle w:val="Heading2"/>
      </w:pPr>
      <w:r w:rsidRPr="006D2560">
        <w:t>Conclusion</w:t>
      </w:r>
    </w:p>
    <w:p w14:paraId="6C510F41" w14:textId="77777777" w:rsidR="00D91945" w:rsidRDefault="00D91945" w:rsidP="00605712">
      <w:pPr>
        <w:ind w:firstLine="720"/>
      </w:pPr>
      <w:r>
        <w:t>Ethnographic maps record human action and interaction in space and over time. In many cases, these maps look like everyday road maps, indicating the layout of the researcher’s fieldwork site; these maps are called ‘spatial maps.’ What makes ethnographic maps unique is that they display the ways in which fieldwork participants interact with the space, rather than just its geographical layout. Since ethnography is essentially ‘recording culture’, spatial ethnographic maps interpret and display how culture unfolds within physical spaces and places, structuring the movements and activities of the people there.</w:t>
      </w:r>
    </w:p>
    <w:p w14:paraId="6449354C" w14:textId="3F2DBFFB" w:rsidR="00D91945" w:rsidRDefault="00D91945" w:rsidP="00605712">
      <w:pPr>
        <w:ind w:firstLine="720"/>
      </w:pPr>
      <w:r>
        <w:t>A wide v</w:t>
      </w:r>
      <w:r w:rsidR="00605712">
        <w:t>a</w:t>
      </w:r>
      <w:r>
        <w:t xml:space="preserve">riety of non-spatial mapping techniques exist as well, allowing the ethnographer to record more abstract aspects of research like life histories, organizational structures, or practical processes. These maps are highly </w:t>
      </w:r>
      <w:proofErr w:type="gramStart"/>
      <w:r>
        <w:t>interpretive, and</w:t>
      </w:r>
      <w:proofErr w:type="gramEnd"/>
      <w:r>
        <w:t xml:space="preserve"> require that the ethnographer spend a good deal of time thinking about how best to display aspects of their </w:t>
      </w:r>
      <w:r>
        <w:lastRenderedPageBreak/>
        <w:t>ethnographic data. When these maps are done well, however, they provide useful ways for the reader to immediately grasp ideas that would be very difficult to represent through text alone.</w:t>
      </w:r>
    </w:p>
    <w:p w14:paraId="678E8258" w14:textId="77777777" w:rsidR="00D91945" w:rsidRDefault="00D91945" w:rsidP="00D91945"/>
    <w:p w14:paraId="612B4CB9" w14:textId="77777777" w:rsidR="00D91945" w:rsidRPr="006D2560" w:rsidRDefault="00D91945" w:rsidP="00D91945">
      <w:r w:rsidRPr="006D2560">
        <w:t>In summary:</w:t>
      </w:r>
    </w:p>
    <w:p w14:paraId="552B3E7B" w14:textId="77777777" w:rsidR="00D91945" w:rsidRPr="006D2560" w:rsidRDefault="00D91945" w:rsidP="00D91945"/>
    <w:p w14:paraId="7708D663" w14:textId="77777777" w:rsidR="00D91945" w:rsidRDefault="00D91945" w:rsidP="00C23CDB">
      <w:pPr>
        <w:pStyle w:val="ListParagraph"/>
        <w:numPr>
          <w:ilvl w:val="0"/>
          <w:numId w:val="26"/>
        </w:numPr>
      </w:pPr>
      <w:r w:rsidRPr="006D2560">
        <w:t>When you make your own ethnographic maps, always remember to keep your research questions in mind, so that you ensure that your maps capture information you need for your project.</w:t>
      </w:r>
    </w:p>
    <w:p w14:paraId="29158EC6" w14:textId="77777777" w:rsidR="00D91945" w:rsidRPr="006D2560" w:rsidRDefault="00D91945" w:rsidP="00D91945">
      <w:pPr>
        <w:pStyle w:val="ListParagraph"/>
      </w:pPr>
    </w:p>
    <w:p w14:paraId="3B1310AE" w14:textId="77777777" w:rsidR="00D91945" w:rsidRDefault="00D91945" w:rsidP="00C23CDB">
      <w:pPr>
        <w:pStyle w:val="ListParagraph"/>
        <w:numPr>
          <w:ilvl w:val="0"/>
          <w:numId w:val="26"/>
        </w:numPr>
      </w:pPr>
      <w:r>
        <w:t xml:space="preserve">Consider using maps to represent a variety of aspects of your fieldwork, from physical spaces to processes and organizational structures. </w:t>
      </w:r>
    </w:p>
    <w:p w14:paraId="6573B960" w14:textId="77777777" w:rsidR="00D91945" w:rsidRPr="006D2560" w:rsidRDefault="00D91945" w:rsidP="00D91945">
      <w:pPr>
        <w:pStyle w:val="ListParagraph"/>
      </w:pPr>
    </w:p>
    <w:p w14:paraId="239B93BC" w14:textId="77777777" w:rsidR="00D91945" w:rsidRDefault="00D91945" w:rsidP="00C23CDB">
      <w:pPr>
        <w:pStyle w:val="ListParagraph"/>
        <w:numPr>
          <w:ilvl w:val="0"/>
          <w:numId w:val="26"/>
        </w:numPr>
      </w:pPr>
      <w:r>
        <w:t>Enlist the help of your fieldwork participants in making maps, as they will bring their own helpful interpretations to the mapping process.</w:t>
      </w:r>
    </w:p>
    <w:p w14:paraId="227F5071" w14:textId="77777777" w:rsidR="00D91945" w:rsidRPr="006D2560" w:rsidRDefault="00D91945" w:rsidP="00D91945"/>
    <w:p w14:paraId="093DBAEC" w14:textId="77777777" w:rsidR="00D91945" w:rsidRPr="006D2560" w:rsidRDefault="00D91945" w:rsidP="00D91945">
      <w:pPr>
        <w:pStyle w:val="Heading2"/>
      </w:pPr>
      <w:r w:rsidRPr="006D2560">
        <w:t>Study Questions</w:t>
      </w:r>
    </w:p>
    <w:p w14:paraId="2038A83C" w14:textId="77777777" w:rsidR="00D91945" w:rsidRPr="006D2560" w:rsidRDefault="00D91945" w:rsidP="00D91945"/>
    <w:p w14:paraId="389AB7A0" w14:textId="77777777" w:rsidR="00D91945" w:rsidRDefault="00D91945" w:rsidP="00C23CDB">
      <w:pPr>
        <w:pStyle w:val="ListParagraph"/>
        <w:numPr>
          <w:ilvl w:val="0"/>
          <w:numId w:val="25"/>
        </w:numPr>
      </w:pPr>
      <w:r>
        <w:t>What are the four kinds of ethnographic mapping discussed in this chapter?</w:t>
      </w:r>
    </w:p>
    <w:p w14:paraId="228346F3" w14:textId="77777777" w:rsidR="00D91945" w:rsidRDefault="00D91945" w:rsidP="00C23CDB">
      <w:pPr>
        <w:pStyle w:val="ListParagraph"/>
        <w:numPr>
          <w:ilvl w:val="0"/>
          <w:numId w:val="25"/>
        </w:numPr>
      </w:pPr>
      <w:r>
        <w:t>How do ethnographic maps differ from traditional maps, such as road maps?</w:t>
      </w:r>
    </w:p>
    <w:p w14:paraId="2145993E" w14:textId="77777777" w:rsidR="00D91945" w:rsidRDefault="00D91945" w:rsidP="00C23CDB">
      <w:pPr>
        <w:pStyle w:val="ListParagraph"/>
        <w:numPr>
          <w:ilvl w:val="0"/>
          <w:numId w:val="25"/>
        </w:numPr>
      </w:pPr>
      <w:r>
        <w:t>How does the shape of an organizational map affect the information it conveys?</w:t>
      </w:r>
    </w:p>
    <w:p w14:paraId="0614A583" w14:textId="77777777" w:rsidR="00D91945" w:rsidRPr="006D2560" w:rsidRDefault="00D91945" w:rsidP="00C23CDB">
      <w:pPr>
        <w:pStyle w:val="ListParagraph"/>
        <w:numPr>
          <w:ilvl w:val="0"/>
          <w:numId w:val="25"/>
        </w:numPr>
      </w:pPr>
      <w:r>
        <w:t>What are strategies for using technology to assist you in your map-making?</w:t>
      </w:r>
    </w:p>
    <w:p w14:paraId="611E38BA" w14:textId="77777777" w:rsidR="00D91945" w:rsidRPr="006D2560" w:rsidRDefault="00D91945" w:rsidP="00C23CDB">
      <w:pPr>
        <w:pStyle w:val="ListParagraph"/>
        <w:numPr>
          <w:ilvl w:val="0"/>
          <w:numId w:val="25"/>
        </w:numPr>
      </w:pPr>
      <w:r>
        <w:t>What kind of maps could you use to help the reader understand your own research, or to help you organize your ideas in the field?</w:t>
      </w:r>
    </w:p>
    <w:p w14:paraId="5F7322DE" w14:textId="77777777" w:rsidR="00D91945" w:rsidRDefault="00D91945" w:rsidP="00D91945">
      <w:pPr>
        <w:pStyle w:val="Heading2"/>
      </w:pPr>
    </w:p>
    <w:p w14:paraId="5F0D7CAF" w14:textId="77777777" w:rsidR="00D91945" w:rsidRDefault="00D91945" w:rsidP="00D91945">
      <w:pPr>
        <w:pStyle w:val="Heading2"/>
      </w:pPr>
      <w:r w:rsidRPr="006D2560">
        <w:t>Key Terms</w:t>
      </w:r>
    </w:p>
    <w:p w14:paraId="23751DD8" w14:textId="77777777" w:rsidR="00D91945" w:rsidRDefault="00D91945" w:rsidP="00D91945"/>
    <w:p w14:paraId="5F0699E5" w14:textId="77777777" w:rsidR="00D91945" w:rsidRPr="00604E89" w:rsidRDefault="00D91945" w:rsidP="00D91945">
      <w:r w:rsidRPr="00604E89">
        <w:rPr>
          <w:i/>
          <w:iCs/>
        </w:rPr>
        <w:t>Ethnographic mapping</w:t>
      </w:r>
      <w:r w:rsidRPr="00604E89">
        <w:t>: The process of recording and displaying human action and interaction as it unfolds in space and over time.</w:t>
      </w:r>
    </w:p>
    <w:p w14:paraId="1B4AC966" w14:textId="77777777" w:rsidR="00D91945" w:rsidRPr="00604E89" w:rsidRDefault="00D91945" w:rsidP="00D91945"/>
    <w:p w14:paraId="1F1D146A" w14:textId="77777777" w:rsidR="00D91945" w:rsidRPr="00D70A61" w:rsidRDefault="00D91945" w:rsidP="00D91945">
      <w:r w:rsidRPr="00604E89">
        <w:rPr>
          <w:i/>
          <w:iCs/>
        </w:rPr>
        <w:t>Spatial maps:</w:t>
      </w:r>
      <w:r>
        <w:t xml:space="preserve"> Maps that indicate the physical features of a landscape or environment. These maps most closely resemble traditional maps, such as roadmaps or surveyor’s maps.</w:t>
      </w:r>
    </w:p>
    <w:p w14:paraId="39A4EF7D" w14:textId="77777777" w:rsidR="00D91945" w:rsidRPr="00604E89" w:rsidRDefault="00D91945" w:rsidP="00D91945">
      <w:pPr>
        <w:rPr>
          <w:i/>
          <w:iCs/>
        </w:rPr>
      </w:pPr>
    </w:p>
    <w:p w14:paraId="0784651B" w14:textId="77777777" w:rsidR="00D91945" w:rsidRPr="00761D4B" w:rsidRDefault="00D91945" w:rsidP="00D91945">
      <w:r w:rsidRPr="00604E89">
        <w:rPr>
          <w:i/>
          <w:iCs/>
        </w:rPr>
        <w:t>Life history maps:</w:t>
      </w:r>
      <w:r>
        <w:rPr>
          <w:i/>
          <w:iCs/>
        </w:rPr>
        <w:t xml:space="preserve"> </w:t>
      </w:r>
      <w:r>
        <w:t>These maps display some aspect of a research participant’s personal development over time. Life history maps are commonly used to represent changes in work history, interpersonal relationships, or political affiliation.</w:t>
      </w:r>
    </w:p>
    <w:p w14:paraId="7D27765A" w14:textId="77777777" w:rsidR="00D91945" w:rsidRPr="00604E89" w:rsidRDefault="00D91945" w:rsidP="00D91945">
      <w:pPr>
        <w:rPr>
          <w:i/>
          <w:iCs/>
        </w:rPr>
      </w:pPr>
    </w:p>
    <w:p w14:paraId="6DF447B7" w14:textId="77777777" w:rsidR="00D91945" w:rsidRPr="00761D4B" w:rsidRDefault="00D91945" w:rsidP="00D91945">
      <w:r w:rsidRPr="00604E89">
        <w:rPr>
          <w:i/>
          <w:iCs/>
        </w:rPr>
        <w:t>Organizational maps:</w:t>
      </w:r>
      <w:r>
        <w:rPr>
          <w:i/>
          <w:iCs/>
        </w:rPr>
        <w:t xml:space="preserve"> </w:t>
      </w:r>
      <w:r>
        <w:t>Organizational maps display the structures of organizations, and often indicate key power relationships that the organizational structure affords. These maps also serve to document who is present during fieldwork, and what their relationships to one another are.</w:t>
      </w:r>
    </w:p>
    <w:p w14:paraId="4F701C69" w14:textId="77777777" w:rsidR="00D91945" w:rsidRPr="00604E89" w:rsidRDefault="00D91945" w:rsidP="00D91945">
      <w:pPr>
        <w:rPr>
          <w:i/>
          <w:iCs/>
        </w:rPr>
      </w:pPr>
    </w:p>
    <w:p w14:paraId="1AFEB566" w14:textId="77777777" w:rsidR="00D91945" w:rsidRPr="00761D4B" w:rsidRDefault="00D91945" w:rsidP="00D91945">
      <w:r w:rsidRPr="00604E89">
        <w:rPr>
          <w:i/>
          <w:iCs/>
        </w:rPr>
        <w:lastRenderedPageBreak/>
        <w:t>Process maps:</w:t>
      </w:r>
      <w:r>
        <w:t xml:space="preserve"> These maps serve as diagrams to help the reader understand a technical process. They can represent work process involving physical tools and materials, or can indicate steps in something work, such as a decision-making process.</w:t>
      </w:r>
    </w:p>
    <w:p w14:paraId="3881C7F2" w14:textId="77777777" w:rsidR="00D91945" w:rsidRPr="006D2560" w:rsidRDefault="00D91945" w:rsidP="00D91945"/>
    <w:p w14:paraId="65E06A1A" w14:textId="77777777" w:rsidR="00D91945" w:rsidRPr="006D2560" w:rsidRDefault="00D91945" w:rsidP="00D91945">
      <w:pPr>
        <w:rPr>
          <w:rFonts w:eastAsiaTheme="majorEastAsia"/>
          <w:b/>
          <w:bCs/>
          <w:color w:val="000000" w:themeColor="text1"/>
        </w:rPr>
      </w:pPr>
    </w:p>
    <w:p w14:paraId="6D534374" w14:textId="77777777" w:rsidR="00D91945" w:rsidRPr="006D2560" w:rsidRDefault="00D91945" w:rsidP="00D91945">
      <w:pPr>
        <w:pStyle w:val="Heading2"/>
      </w:pPr>
      <w:r w:rsidRPr="006D2560">
        <w:t>Citations</w:t>
      </w:r>
    </w:p>
    <w:p w14:paraId="2E4FBB71" w14:textId="77777777" w:rsidR="00D91945" w:rsidRPr="006D2560" w:rsidRDefault="00D91945" w:rsidP="00D91945"/>
    <w:p w14:paraId="43D6B318" w14:textId="77777777" w:rsidR="00D91945" w:rsidRPr="002B7AB1" w:rsidRDefault="00D91945" w:rsidP="00D91945">
      <w:pPr>
        <w:pStyle w:val="Bibliography"/>
      </w:pPr>
      <w:r>
        <w:fldChar w:fldCharType="begin"/>
      </w:r>
      <w:r>
        <w:instrText xml:space="preserve"> ADDIN ZOTERO_BIBL {"uncited":[],"omitted":[],"custom":[]} CSL_BIBLIOGRAPHY </w:instrText>
      </w:r>
      <w:r>
        <w:fldChar w:fldCharType="separate"/>
      </w:r>
      <w:r w:rsidRPr="002B7AB1">
        <w:t xml:space="preserve">Martin, T. (2019). </w:t>
      </w:r>
      <w:r w:rsidRPr="002B7AB1">
        <w:rPr>
          <w:i/>
          <w:iCs/>
        </w:rPr>
        <w:t>Getting ‘the feel’: Craft learning as perceptual transformation</w:t>
      </w:r>
      <w:r w:rsidRPr="002B7AB1">
        <w:t xml:space="preserve"> (Doctoral dissertation). Oxford University.</w:t>
      </w:r>
      <w:r>
        <w:t xml:space="preserve"> [Available at </w:t>
      </w:r>
      <w:hyperlink r:id="rId64" w:history="1">
        <w:r w:rsidRPr="00623114">
          <w:rPr>
            <w:rStyle w:val="Hyperlink"/>
          </w:rPr>
          <w:t>this link</w:t>
        </w:r>
      </w:hyperlink>
      <w:r>
        <w:t>]</w:t>
      </w:r>
    </w:p>
    <w:p w14:paraId="1EA17FC7" w14:textId="77777777" w:rsidR="00D91945" w:rsidRPr="002B7AB1" w:rsidRDefault="00D91945" w:rsidP="00D91945">
      <w:pPr>
        <w:pStyle w:val="Bibliography"/>
      </w:pPr>
      <w:r w:rsidRPr="002B7AB1">
        <w:t xml:space="preserve">Pelto, P. J. (2016). </w:t>
      </w:r>
      <w:r w:rsidRPr="002B7AB1">
        <w:rPr>
          <w:i/>
          <w:iCs/>
        </w:rPr>
        <w:t>Applied Ethnography: Guidelines for Field Research</w:t>
      </w:r>
      <w:r w:rsidRPr="002B7AB1">
        <w:t>. Taylor &amp; Francis.</w:t>
      </w:r>
    </w:p>
    <w:p w14:paraId="34AFC9E3" w14:textId="77777777" w:rsidR="00D91945" w:rsidRPr="006D2560" w:rsidRDefault="00D91945" w:rsidP="00D91945">
      <w:pPr>
        <w:pStyle w:val="Bibliography"/>
      </w:pPr>
      <w:r>
        <w:fldChar w:fldCharType="end"/>
      </w:r>
    </w:p>
    <w:p w14:paraId="4BB1DBE6" w14:textId="65B93E55" w:rsidR="00D91945" w:rsidRDefault="00D91945">
      <w:r>
        <w:br w:type="page"/>
      </w:r>
    </w:p>
    <w:p w14:paraId="10F59672" w14:textId="77777777" w:rsidR="00D91945" w:rsidRPr="009F6239" w:rsidRDefault="00D91945" w:rsidP="00D91945">
      <w:pPr>
        <w:pStyle w:val="Heading1"/>
        <w:jc w:val="center"/>
        <w:rPr>
          <w:rFonts w:ascii="Times New Roman" w:hAnsi="Times New Roman" w:cs="Times New Roman"/>
          <w:color w:val="auto"/>
        </w:rPr>
      </w:pPr>
      <w:r w:rsidRPr="009F6239">
        <w:rPr>
          <w:rFonts w:ascii="Times New Roman" w:hAnsi="Times New Roman" w:cs="Times New Roman"/>
          <w:color w:val="auto"/>
        </w:rPr>
        <w:lastRenderedPageBreak/>
        <w:t xml:space="preserve">Collecting Data and Taking Notes </w:t>
      </w:r>
    </w:p>
    <w:p w14:paraId="38994445" w14:textId="77777777" w:rsidR="00D91945" w:rsidRDefault="00D91945" w:rsidP="00D91945">
      <w:pPr>
        <w:jc w:val="center"/>
      </w:pPr>
      <w:r>
        <w:t xml:space="preserve">Mary </w:t>
      </w:r>
      <w:proofErr w:type="spellStart"/>
      <w:r>
        <w:t>Gatta</w:t>
      </w:r>
      <w:proofErr w:type="spellEnd"/>
      <w:r>
        <w:t>. PhD</w:t>
      </w:r>
    </w:p>
    <w:p w14:paraId="5CF4FE99" w14:textId="77777777" w:rsidR="00605712" w:rsidRDefault="00605712" w:rsidP="00D91945"/>
    <w:p w14:paraId="33FF0FB8" w14:textId="592AE08A" w:rsidR="00D91945" w:rsidRDefault="00D91945" w:rsidP="00D91945">
      <w:pPr>
        <w:rPr>
          <w:rFonts w:ascii="Times New Roman" w:hAnsi="Times New Roman" w:cs="Times New Roman"/>
        </w:rPr>
      </w:pPr>
      <w:r>
        <w:tab/>
      </w:r>
      <w:r>
        <w:rPr>
          <w:rFonts w:ascii="Times New Roman" w:hAnsi="Times New Roman" w:cs="Times New Roman"/>
        </w:rPr>
        <w:t xml:space="preserve">In this chapter, we explore the heart of ethnography—collecting data and taking fieldnotes. Ethnographic data is collected in a variety of ways that involve the researcher being embedded in the field in a variety of ways Ethnographers collect data by observing in the field.  This includes both structured and unstructured observations, along with participant observations.  In </w:t>
      </w:r>
      <w:proofErr w:type="gramStart"/>
      <w:r>
        <w:rPr>
          <w:rFonts w:ascii="Times New Roman" w:hAnsi="Times New Roman" w:cs="Times New Roman"/>
        </w:rPr>
        <w:t>addition</w:t>
      </w:r>
      <w:proofErr w:type="gramEnd"/>
      <w:r>
        <w:rPr>
          <w:rFonts w:ascii="Times New Roman" w:hAnsi="Times New Roman" w:cs="Times New Roman"/>
        </w:rPr>
        <w:t xml:space="preserve"> ethnographers engage in formal and informal interviews and focus groups with subjects. Often researchers will engage in a variety of methods for one research project and this data collection will occur over </w:t>
      </w:r>
      <w:proofErr w:type="gramStart"/>
      <w:r>
        <w:rPr>
          <w:rFonts w:ascii="Times New Roman" w:hAnsi="Times New Roman" w:cs="Times New Roman"/>
        </w:rPr>
        <w:t>a period of time</w:t>
      </w:r>
      <w:proofErr w:type="gramEnd"/>
      <w:r>
        <w:rPr>
          <w:rFonts w:ascii="Times New Roman" w:hAnsi="Times New Roman" w:cs="Times New Roman"/>
        </w:rPr>
        <w:t xml:space="preserve">. An ethnographer may spend days, months or even years in one </w:t>
      </w:r>
      <w:r w:rsidRPr="004726F7">
        <w:rPr>
          <w:rFonts w:ascii="Times New Roman" w:hAnsi="Times New Roman" w:cs="Times New Roman"/>
          <w:b/>
          <w:bCs/>
        </w:rPr>
        <w:t>field</w:t>
      </w:r>
      <w:r>
        <w:rPr>
          <w:rFonts w:ascii="Times New Roman" w:hAnsi="Times New Roman" w:cs="Times New Roman"/>
          <w:b/>
          <w:bCs/>
        </w:rPr>
        <w:t xml:space="preserve"> </w:t>
      </w:r>
      <w:r w:rsidRPr="004726F7">
        <w:rPr>
          <w:rFonts w:ascii="Times New Roman" w:hAnsi="Times New Roman" w:cs="Times New Roman"/>
          <w:b/>
          <w:bCs/>
        </w:rPr>
        <w:t>site</w:t>
      </w:r>
      <w:r>
        <w:rPr>
          <w:rFonts w:ascii="Times New Roman" w:hAnsi="Times New Roman" w:cs="Times New Roman"/>
        </w:rPr>
        <w:t xml:space="preserve"> to observe and interview research subjects. A field site is the location or environment an ethnographer is studying. It can be virtually any place—a school, workplace, community, home, street, and even in the online world.  This </w:t>
      </w:r>
      <w:r w:rsidRPr="004726F7">
        <w:rPr>
          <w:rFonts w:ascii="Times New Roman" w:hAnsi="Times New Roman" w:cs="Times New Roman"/>
          <w:b/>
          <w:bCs/>
        </w:rPr>
        <w:t>triangulation</w:t>
      </w:r>
      <w:r>
        <w:rPr>
          <w:rFonts w:ascii="Times New Roman" w:hAnsi="Times New Roman" w:cs="Times New Roman"/>
        </w:rPr>
        <w:t xml:space="preserve"> of ethnographic methods-using a variety of methods in a field site--- helps the researcher to gather as much data as possible to identify trends, patterns and nuances of the field they are studying.   </w:t>
      </w:r>
    </w:p>
    <w:p w14:paraId="5B0AC71B" w14:textId="77777777" w:rsidR="00D91945" w:rsidRDefault="00D91945" w:rsidP="00D91945">
      <w:pPr>
        <w:rPr>
          <w:rFonts w:ascii="Times New Roman" w:hAnsi="Times New Roman" w:cs="Times New Roman"/>
        </w:rPr>
      </w:pPr>
      <w:r>
        <w:rPr>
          <w:rFonts w:ascii="Times New Roman" w:hAnsi="Times New Roman" w:cs="Times New Roman"/>
        </w:rPr>
        <w:tab/>
        <w:t>As a result of the intensive data collections methods that ethnographers engage, researchers often end up with a good deal of data to analyze.  It is therefore important for ethnographers to have a plan on exactly how they will collect their data before they head into the field.  How will they collect data?  Will they take notes in the field or when they leave the field?  Will they record interviews via audio or video means?  How will they capture pictures?  How will they organize notes?  Where will they store notes?  In this chapter, we will get a sense of these and other questions.</w:t>
      </w:r>
    </w:p>
    <w:p w14:paraId="28396F5C" w14:textId="77777777" w:rsidR="00605712" w:rsidRDefault="00605712" w:rsidP="00D91945">
      <w:pPr>
        <w:pStyle w:val="Heading2"/>
        <w:rPr>
          <w:color w:val="auto"/>
        </w:rPr>
      </w:pPr>
    </w:p>
    <w:p w14:paraId="478538AA" w14:textId="3DD82613" w:rsidR="00D91945" w:rsidRPr="009F6239" w:rsidRDefault="00D91945" w:rsidP="00D91945">
      <w:pPr>
        <w:pStyle w:val="Heading2"/>
        <w:rPr>
          <w:color w:val="auto"/>
        </w:rPr>
      </w:pPr>
      <w:r w:rsidRPr="009F6239">
        <w:rPr>
          <w:color w:val="auto"/>
        </w:rPr>
        <w:t>What Are Fieldnotes?</w:t>
      </w:r>
      <w:r>
        <w:rPr>
          <w:rStyle w:val="FootnoteReference"/>
          <w:color w:val="auto"/>
        </w:rPr>
        <w:footnoteReference w:id="37"/>
      </w:r>
    </w:p>
    <w:p w14:paraId="5CDBB423" w14:textId="77777777" w:rsidR="00D91945" w:rsidRDefault="00D91945" w:rsidP="00D91945">
      <w:pPr>
        <w:rPr>
          <w:rFonts w:ascii="Times New Roman" w:hAnsi="Times New Roman" w:cs="Times New Roman"/>
        </w:rPr>
      </w:pPr>
      <w:r>
        <w:rPr>
          <w:rFonts w:ascii="Times New Roman" w:hAnsi="Times New Roman" w:cs="Times New Roman"/>
        </w:rPr>
        <w:tab/>
        <w:t xml:space="preserve">A staple of ethnographic data collection are </w:t>
      </w:r>
      <w:r w:rsidRPr="008C0F34">
        <w:rPr>
          <w:rFonts w:ascii="Times New Roman" w:hAnsi="Times New Roman" w:cs="Times New Roman"/>
          <w:b/>
          <w:bCs/>
        </w:rPr>
        <w:t>field notes</w:t>
      </w:r>
      <w:r>
        <w:rPr>
          <w:rFonts w:ascii="Times New Roman" w:hAnsi="Times New Roman" w:cs="Times New Roman"/>
        </w:rPr>
        <w:t xml:space="preserve">.  Field </w:t>
      </w:r>
      <w:r w:rsidRPr="0034492A">
        <w:rPr>
          <w:rFonts w:ascii="Times New Roman" w:hAnsi="Times New Roman" w:cs="Times New Roman"/>
        </w:rPr>
        <w:t xml:space="preserve">notes </w:t>
      </w:r>
      <w:r>
        <w:rPr>
          <w:rFonts w:ascii="Times New Roman" w:hAnsi="Times New Roman" w:cs="Times New Roman"/>
        </w:rPr>
        <w:t xml:space="preserve">are the notes </w:t>
      </w:r>
      <w:r w:rsidRPr="0034492A">
        <w:rPr>
          <w:rFonts w:ascii="Times New Roman" w:hAnsi="Times New Roman" w:cs="Times New Roman"/>
        </w:rPr>
        <w:t>created by the researcher to remember and record the behaviors, activities, events, and other features of an observation. Field notes are intended to be read by the researcher as evidence to produce meaning and an understanding of the culture, social situation, or phenomenon being studied.</w:t>
      </w:r>
      <w:r>
        <w:rPr>
          <w:rFonts w:ascii="Times New Roman" w:hAnsi="Times New Roman" w:cs="Times New Roman"/>
        </w:rPr>
        <w:t xml:space="preserve"> (</w:t>
      </w:r>
      <w:r w:rsidRPr="00BA4475">
        <w:rPr>
          <w:rFonts w:ascii="Times New Roman" w:hAnsi="Times New Roman" w:cs="Times New Roman"/>
        </w:rPr>
        <w:t xml:space="preserve">Schwandt, </w:t>
      </w:r>
      <w:r>
        <w:rPr>
          <w:rFonts w:ascii="Times New Roman" w:hAnsi="Times New Roman" w:cs="Times New Roman"/>
        </w:rPr>
        <w:t xml:space="preserve">2015) </w:t>
      </w:r>
    </w:p>
    <w:p w14:paraId="739A8F82" w14:textId="77777777" w:rsidR="00D91945" w:rsidRPr="00060F15" w:rsidRDefault="00D91945" w:rsidP="00D91945">
      <w:pPr>
        <w:rPr>
          <w:rFonts w:ascii="Times New Roman" w:hAnsi="Times New Roman" w:cs="Times New Roman"/>
        </w:rPr>
      </w:pPr>
      <w:r>
        <w:rPr>
          <w:rFonts w:ascii="Times New Roman" w:hAnsi="Times New Roman" w:cs="Times New Roman"/>
        </w:rPr>
        <w:tab/>
      </w:r>
      <w:r w:rsidRPr="00060F15">
        <w:rPr>
          <w:rFonts w:ascii="Times New Roman" w:hAnsi="Times New Roman" w:cs="Times New Roman"/>
        </w:rPr>
        <w:t xml:space="preserve">As you begin your research using ethnographic methodologies, including the writing of fieldnotes, you need to be keenly aware that this kind of research, represented through the written word, is subject to personal interpretation.  You are choosing what to write about, you are making decisions about what to include and what to omit.  You, as the researcher, come to the field with a </w:t>
      </w:r>
      <w:proofErr w:type="gramStart"/>
      <w:r w:rsidRPr="00060F15">
        <w:rPr>
          <w:rFonts w:ascii="Times New Roman" w:hAnsi="Times New Roman" w:cs="Times New Roman"/>
        </w:rPr>
        <w:t>particular set</w:t>
      </w:r>
      <w:proofErr w:type="gramEnd"/>
      <w:r w:rsidRPr="00060F15">
        <w:rPr>
          <w:rFonts w:ascii="Times New Roman" w:hAnsi="Times New Roman" w:cs="Times New Roman"/>
        </w:rPr>
        <w:t xml:space="preserve"> of values and beliefs and those values and beliefs will affect what you see and how you see it. Ethnographic writing is always, in some ways or others, a representation of the ethnographer.</w:t>
      </w:r>
    </w:p>
    <w:p w14:paraId="0B80648B" w14:textId="77777777" w:rsidR="00D91945" w:rsidRPr="00060F15" w:rsidRDefault="00D91945" w:rsidP="00D91945">
      <w:pPr>
        <w:ind w:firstLine="720"/>
        <w:rPr>
          <w:rFonts w:ascii="Times New Roman" w:hAnsi="Times New Roman" w:cs="Times New Roman"/>
        </w:rPr>
      </w:pPr>
      <w:r w:rsidRPr="00060F15">
        <w:rPr>
          <w:rFonts w:ascii="Times New Roman" w:hAnsi="Times New Roman" w:cs="Times New Roman"/>
        </w:rPr>
        <w:t xml:space="preserve">This doesn’t mean that some ethnographic writing isn’t better than other ethnographic writing, that the primary data itself isn’t valid or truthful.  This may be the first primary data collection experience for you.  This means that this is a learning experience, </w:t>
      </w:r>
      <w:r>
        <w:rPr>
          <w:rFonts w:ascii="Times New Roman" w:hAnsi="Times New Roman" w:cs="Times New Roman"/>
        </w:rPr>
        <w:t>and</w:t>
      </w:r>
      <w:r w:rsidRPr="00060F15">
        <w:rPr>
          <w:rFonts w:ascii="Times New Roman" w:hAnsi="Times New Roman" w:cs="Times New Roman"/>
        </w:rPr>
        <w:t xml:space="preserve"> your fieldnote writing will, over time, improve, shift, become </w:t>
      </w:r>
      <w:proofErr w:type="gramStart"/>
      <w:r w:rsidRPr="00060F15">
        <w:rPr>
          <w:rFonts w:ascii="Times New Roman" w:hAnsi="Times New Roman" w:cs="Times New Roman"/>
        </w:rPr>
        <w:t>more dense</w:t>
      </w:r>
      <w:proofErr w:type="gramEnd"/>
      <w:r w:rsidRPr="00060F15">
        <w:rPr>
          <w:rFonts w:ascii="Times New Roman" w:hAnsi="Times New Roman" w:cs="Times New Roman"/>
        </w:rPr>
        <w:t>,</w:t>
      </w:r>
      <w:r>
        <w:rPr>
          <w:rFonts w:ascii="Times New Roman" w:hAnsi="Times New Roman" w:cs="Times New Roman"/>
        </w:rPr>
        <w:t xml:space="preserve"> and</w:t>
      </w:r>
      <w:r w:rsidRPr="00060F15">
        <w:rPr>
          <w:rFonts w:ascii="Times New Roman" w:hAnsi="Times New Roman" w:cs="Times New Roman"/>
        </w:rPr>
        <w:t xml:space="preserve"> appear more like primary data and less like a journal writing.  Many ethnographers write fieldnotes as well as journals, the </w:t>
      </w:r>
      <w:r w:rsidRPr="00060F15">
        <w:rPr>
          <w:rFonts w:ascii="Times New Roman" w:hAnsi="Times New Roman" w:cs="Times New Roman"/>
        </w:rPr>
        <w:lastRenderedPageBreak/>
        <w:t>principle difference being the degree to which the writing serves to analyze what is being observed.</w:t>
      </w:r>
    </w:p>
    <w:p w14:paraId="579DD4C7" w14:textId="77777777" w:rsidR="00D91945" w:rsidRDefault="00D91945" w:rsidP="00D91945">
      <w:pPr>
        <w:ind w:firstLine="720"/>
        <w:rPr>
          <w:rFonts w:ascii="Times New Roman" w:hAnsi="Times New Roman" w:cs="Times New Roman"/>
        </w:rPr>
      </w:pPr>
      <w:r w:rsidRPr="00060F15">
        <w:rPr>
          <w:rFonts w:ascii="Times New Roman" w:hAnsi="Times New Roman" w:cs="Times New Roman"/>
        </w:rPr>
        <w:t xml:space="preserve">One of the stumbling blocks in writing fieldnotes for the first time is that, in the end, fieldnotes are only for you. They are the primary data you will use to write your final piece, your larger representation of your research. </w:t>
      </w:r>
      <w:proofErr w:type="gramStart"/>
      <w:r w:rsidRPr="00060F15">
        <w:rPr>
          <w:rFonts w:ascii="Times New Roman" w:hAnsi="Times New Roman" w:cs="Times New Roman"/>
        </w:rPr>
        <w:t>But,</w:t>
      </w:r>
      <w:proofErr w:type="gramEnd"/>
      <w:r w:rsidRPr="00060F15">
        <w:rPr>
          <w:rFonts w:ascii="Times New Roman" w:hAnsi="Times New Roman" w:cs="Times New Roman"/>
        </w:rPr>
        <w:t xml:space="preserve"> though it seems this would be low-stakes writing (writing only for you, without an immediate purpose), understand that your final project is greatly affected by the time and care and attention you give to these notes. Therefore, while any one set of notes may be low-stakes, collectively, they are high-stakes, in indeed. Together </w:t>
      </w:r>
      <w:proofErr w:type="gramStart"/>
      <w:r w:rsidRPr="00060F15">
        <w:rPr>
          <w:rFonts w:ascii="Times New Roman" w:hAnsi="Times New Roman" w:cs="Times New Roman"/>
        </w:rPr>
        <w:t>all of</w:t>
      </w:r>
      <w:proofErr w:type="gramEnd"/>
      <w:r w:rsidRPr="00060F15">
        <w:rPr>
          <w:rFonts w:ascii="Times New Roman" w:hAnsi="Times New Roman" w:cs="Times New Roman"/>
        </w:rPr>
        <w:t xml:space="preserve"> </w:t>
      </w:r>
      <w:r>
        <w:rPr>
          <w:rFonts w:ascii="Times New Roman" w:hAnsi="Times New Roman" w:cs="Times New Roman"/>
        </w:rPr>
        <w:t>the</w:t>
      </w:r>
      <w:r w:rsidRPr="00060F15">
        <w:rPr>
          <w:rFonts w:ascii="Times New Roman" w:hAnsi="Times New Roman" w:cs="Times New Roman"/>
        </w:rPr>
        <w:t xml:space="preserve"> notes </w:t>
      </w:r>
      <w:r>
        <w:rPr>
          <w:rFonts w:ascii="Times New Roman" w:hAnsi="Times New Roman" w:cs="Times New Roman"/>
        </w:rPr>
        <w:t>are</w:t>
      </w:r>
      <w:r w:rsidRPr="00060F15">
        <w:rPr>
          <w:rFonts w:ascii="Times New Roman" w:hAnsi="Times New Roman" w:cs="Times New Roman"/>
        </w:rPr>
        <w:t xml:space="preserve"> the foundation of this project; they are the point of it all.</w:t>
      </w:r>
      <w:r>
        <w:rPr>
          <w:rFonts w:ascii="Times New Roman" w:hAnsi="Times New Roman" w:cs="Times New Roman"/>
        </w:rPr>
        <w:t xml:space="preserve"> </w:t>
      </w:r>
    </w:p>
    <w:p w14:paraId="5CF8BD8B" w14:textId="77777777" w:rsidR="00D91945" w:rsidRDefault="00D91945" w:rsidP="00D91945">
      <w:pPr>
        <w:ind w:firstLine="720"/>
        <w:rPr>
          <w:rFonts w:ascii="Times New Roman" w:hAnsi="Times New Roman" w:cs="Times New Roman"/>
        </w:rPr>
      </w:pPr>
      <w:r>
        <w:rPr>
          <w:rFonts w:ascii="Times New Roman" w:hAnsi="Times New Roman" w:cs="Times New Roman"/>
        </w:rPr>
        <w:t xml:space="preserve">To start, it is helpful to listen to some ethnography students at the University of Southern California talk about the basics of fieldnotes.  </w:t>
      </w:r>
    </w:p>
    <w:p w14:paraId="4D8C62E0" w14:textId="77777777" w:rsidR="00D91945" w:rsidRDefault="00D91945" w:rsidP="00D91945">
      <w:pPr>
        <w:pStyle w:val="Heading2"/>
        <w:rPr>
          <w:color w:val="auto"/>
        </w:rPr>
      </w:pPr>
    </w:p>
    <w:p w14:paraId="1DB9FC00" w14:textId="77777777" w:rsidR="00D91945" w:rsidRPr="009F6239" w:rsidRDefault="00D91945" w:rsidP="00D91945">
      <w:pPr>
        <w:pStyle w:val="Heading2"/>
        <w:rPr>
          <w:color w:val="auto"/>
        </w:rPr>
      </w:pPr>
      <w:r w:rsidRPr="009F6239">
        <w:rPr>
          <w:color w:val="auto"/>
        </w:rPr>
        <w:t>Basics of Fieldnotes</w:t>
      </w:r>
      <w:r>
        <w:rPr>
          <w:rStyle w:val="FootnoteReference"/>
          <w:color w:val="auto"/>
        </w:rPr>
        <w:footnoteReference w:id="38"/>
      </w:r>
    </w:p>
    <w:p w14:paraId="03055090" w14:textId="77777777" w:rsidR="00D91945" w:rsidRDefault="00D91945" w:rsidP="00D91945">
      <w:pPr>
        <w:rPr>
          <w:rFonts w:ascii="Times New Roman" w:hAnsi="Times New Roman" w:cs="Times New Roman"/>
        </w:rPr>
      </w:pPr>
      <w:r>
        <w:rPr>
          <w:rFonts w:ascii="Times New Roman" w:hAnsi="Times New Roman" w:cs="Times New Roman"/>
        </w:rPr>
        <w:tab/>
        <w:t>The students in the video point to several important aspects of fieldnotes.  First, we need to be sure what we are doing is ethical.  If we are interviewing someone, did we get their consent for an interview and to be recorded?  How will the ethnographer protect the confidentiality of the interviewee?  If we are observing a worksite, how will we let the workers know and protect their identities?  This is discussed in the ethics chapter of this text, and it is important to ensure you are ethically collecting data.</w:t>
      </w:r>
    </w:p>
    <w:p w14:paraId="7DF05F81" w14:textId="77777777" w:rsidR="00D91945" w:rsidRPr="00FB0EAC" w:rsidRDefault="00D91945" w:rsidP="00D91945">
      <w:pPr>
        <w:rPr>
          <w:rFonts w:ascii="Times New Roman" w:hAnsi="Times New Roman" w:cs="Times New Roman"/>
        </w:rPr>
      </w:pPr>
      <w:r>
        <w:rPr>
          <w:rFonts w:ascii="Times New Roman" w:hAnsi="Times New Roman" w:cs="Times New Roman"/>
        </w:rPr>
        <w:tab/>
        <w:t xml:space="preserve">Once you have ensured ethical data collection, you want to begin collecting data. </w:t>
      </w:r>
      <w:r w:rsidRPr="00FB0EAC">
        <w:rPr>
          <w:rFonts w:ascii="Times New Roman" w:hAnsi="Times New Roman" w:cs="Times New Roman"/>
        </w:rPr>
        <w:t>What does it mean to “do fieldwork,” to “take fieldnotes”?  The answers to these questions are at once simple and complicated.  Simply stated, one “does research” by hanging out in your research site, observing what goes on and participating in the activities and conversation going on around you.  This process is understood as participant-observation research methodology. However, simply participating and observing isn’t enough.  You need to record your observations and thoughts on paper.  You need to record what people in the site say and do. You need to “take fieldnotes” and write down what you see, feel and think about your research.  When you write these observations, thoughts, feelings and analyses, you are creating primary data.</w:t>
      </w:r>
    </w:p>
    <w:p w14:paraId="098CC4BD" w14:textId="77777777" w:rsidR="00D91945" w:rsidRDefault="00D91945" w:rsidP="00D91945">
      <w:pPr>
        <w:ind w:firstLine="720"/>
        <w:rPr>
          <w:rFonts w:ascii="Times New Roman" w:hAnsi="Times New Roman" w:cs="Times New Roman"/>
        </w:rPr>
      </w:pPr>
      <w:r w:rsidRPr="00FB0EAC">
        <w:rPr>
          <w:rFonts w:ascii="Times New Roman" w:hAnsi="Times New Roman" w:cs="Times New Roman"/>
        </w:rPr>
        <w:t xml:space="preserve">Your first visit to your site presents the opportunity to “see” the site for the first time as an ethnographer. Make sure that you some device (pen, paper, phone, laptop) available to record in writing everything that you see, hear, taste, smell, touch, and feel. You’re going to try to capture the atmosphere and mood.  You want to gather the kind of information that will make it possible to bring your site alive through your writing. In your first visit to the site, you also want to walk away with a good idea of how you see the </w:t>
      </w:r>
      <w:proofErr w:type="gramStart"/>
      <w:r w:rsidRPr="00FB0EAC">
        <w:rPr>
          <w:rFonts w:ascii="Times New Roman" w:hAnsi="Times New Roman" w:cs="Times New Roman"/>
        </w:rPr>
        <w:t>site .</w:t>
      </w:r>
      <w:proofErr w:type="gramEnd"/>
      <w:r w:rsidRPr="00FB0EAC">
        <w:rPr>
          <w:rFonts w:ascii="Times New Roman" w:hAnsi="Times New Roman" w:cs="Times New Roman"/>
        </w:rPr>
        <w:t xml:space="preserve"> </w:t>
      </w:r>
      <w:r>
        <w:rPr>
          <w:rFonts w:ascii="Times New Roman" w:hAnsi="Times New Roman" w:cs="Times New Roman"/>
        </w:rPr>
        <w:t xml:space="preserve"> </w:t>
      </w:r>
      <w:r w:rsidRPr="00FB0EAC">
        <w:rPr>
          <w:rFonts w:ascii="Times New Roman" w:hAnsi="Times New Roman" w:cs="Times New Roman"/>
        </w:rPr>
        <w:t>Your primary data set—your fieldnotes—will evolve over time</w:t>
      </w:r>
      <w:r>
        <w:rPr>
          <w:rFonts w:ascii="Times New Roman" w:hAnsi="Times New Roman" w:cs="Times New Roman"/>
        </w:rPr>
        <w:t>.</w:t>
      </w:r>
      <w:r w:rsidRPr="007E6B5A">
        <w:t xml:space="preserve"> </w:t>
      </w:r>
      <w:r w:rsidRPr="007E6B5A">
        <w:rPr>
          <w:rFonts w:ascii="Times New Roman" w:hAnsi="Times New Roman" w:cs="Times New Roman"/>
        </w:rPr>
        <w:t>(http://www.engagingcommunities.org/writing-fieldnotes/</w:t>
      </w:r>
      <w:r>
        <w:rPr>
          <w:rFonts w:ascii="Times New Roman" w:hAnsi="Times New Roman" w:cs="Times New Roman"/>
        </w:rPr>
        <w:t>)</w:t>
      </w:r>
    </w:p>
    <w:p w14:paraId="32F8F16C" w14:textId="77777777" w:rsidR="00605712" w:rsidRDefault="00605712" w:rsidP="00D91945">
      <w:pPr>
        <w:pStyle w:val="Heading2"/>
        <w:rPr>
          <w:color w:val="auto"/>
        </w:rPr>
      </w:pPr>
    </w:p>
    <w:p w14:paraId="78644E37" w14:textId="3E71E8B3" w:rsidR="00D91945" w:rsidRPr="009F6239" w:rsidRDefault="00D91945" w:rsidP="00D91945">
      <w:pPr>
        <w:pStyle w:val="Heading2"/>
        <w:rPr>
          <w:color w:val="auto"/>
        </w:rPr>
      </w:pPr>
      <w:r w:rsidRPr="009F6239">
        <w:rPr>
          <w:color w:val="auto"/>
        </w:rPr>
        <w:t>Jottings and Notes</w:t>
      </w:r>
      <w:r>
        <w:rPr>
          <w:rStyle w:val="FootnoteReference"/>
          <w:color w:val="auto"/>
        </w:rPr>
        <w:footnoteReference w:id="39"/>
      </w:r>
    </w:p>
    <w:p w14:paraId="3B197FBA" w14:textId="77777777" w:rsidR="00D91945" w:rsidRDefault="00D91945" w:rsidP="00D91945">
      <w:pPr>
        <w:ind w:firstLine="720"/>
        <w:rPr>
          <w:rFonts w:ascii="Times New Roman" w:hAnsi="Times New Roman" w:cs="Times New Roman"/>
        </w:rPr>
      </w:pPr>
      <w:r w:rsidRPr="005018BE">
        <w:rPr>
          <w:rFonts w:ascii="Times New Roman" w:hAnsi="Times New Roman" w:cs="Times New Roman"/>
        </w:rPr>
        <w:t xml:space="preserve">Our observations are recorded in the form of </w:t>
      </w:r>
      <w:r w:rsidRPr="00FE3E8C">
        <w:rPr>
          <w:rFonts w:ascii="Times New Roman" w:hAnsi="Times New Roman" w:cs="Times New Roman"/>
          <w:b/>
          <w:bCs/>
        </w:rPr>
        <w:t>jottings and notes</w:t>
      </w:r>
      <w:r w:rsidRPr="005018BE">
        <w:rPr>
          <w:rFonts w:ascii="Times New Roman" w:hAnsi="Times New Roman" w:cs="Times New Roman"/>
        </w:rPr>
        <w:t>.  When we are in the field we make write down (or type into our phones/tablets) jottings about what we are seeing, feeling and observing.</w:t>
      </w:r>
    </w:p>
    <w:p w14:paraId="5C45E433" w14:textId="77777777" w:rsidR="00D91945" w:rsidRDefault="00D91945" w:rsidP="00D91945">
      <w:pPr>
        <w:ind w:firstLine="720"/>
        <w:rPr>
          <w:rFonts w:ascii="Times New Roman" w:hAnsi="Times New Roman" w:cs="Times New Roman"/>
        </w:rPr>
      </w:pPr>
      <w:r w:rsidRPr="005018BE">
        <w:rPr>
          <w:rFonts w:ascii="Times New Roman" w:hAnsi="Times New Roman" w:cs="Times New Roman"/>
        </w:rPr>
        <w:lastRenderedPageBreak/>
        <w:t xml:space="preserve">  </w:t>
      </w:r>
      <w:r w:rsidRPr="00FB0EAC">
        <w:rPr>
          <w:rFonts w:ascii="Times New Roman" w:hAnsi="Times New Roman" w:cs="Times New Roman"/>
        </w:rPr>
        <w:t>At the site, you should try to take notes that address all five senses:</w:t>
      </w:r>
    </w:p>
    <w:p w14:paraId="00506C5F" w14:textId="77777777" w:rsidR="00D91945" w:rsidRPr="00FB0EAC" w:rsidRDefault="00D91945" w:rsidP="00D91945">
      <w:pPr>
        <w:rPr>
          <w:rFonts w:ascii="Times New Roman" w:hAnsi="Times New Roman" w:cs="Times New Roman"/>
        </w:rPr>
      </w:pPr>
    </w:p>
    <w:p w14:paraId="285A24F2" w14:textId="77777777" w:rsidR="00D91945" w:rsidRPr="00FB0EAC"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FB0EAC">
        <w:rPr>
          <w:rFonts w:ascii="Times New Roman" w:hAnsi="Times New Roman" w:cs="Times New Roman"/>
        </w:rPr>
        <w:t>VISION: What is this place? Who are the people? What do they look like? What are they doing? In what order do people do things? What artifacts and objects do you see? What do people do with them?</w:t>
      </w:r>
    </w:p>
    <w:p w14:paraId="254826BE" w14:textId="77777777" w:rsidR="00D91945" w:rsidRPr="00FB0EAC"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FB0EAC">
        <w:rPr>
          <w:rFonts w:ascii="Times New Roman" w:hAnsi="Times New Roman" w:cs="Times New Roman"/>
        </w:rPr>
        <w:t>HEARING: What do people say? What noises do you hear? How loud is it?  How quiet?  Are is the sound from voice or other activity?</w:t>
      </w:r>
    </w:p>
    <w:p w14:paraId="5C030C2E" w14:textId="77777777" w:rsidR="00D91945" w:rsidRPr="00FB0EAC"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FB0EAC">
        <w:rPr>
          <w:rFonts w:ascii="Times New Roman" w:hAnsi="Times New Roman" w:cs="Times New Roman"/>
        </w:rPr>
        <w:t>TASTE: Is there food involved in this setting?  Does the space taste like anything you know?  Is taste important in this site?</w:t>
      </w:r>
    </w:p>
    <w:p w14:paraId="7BF733A6" w14:textId="77777777" w:rsidR="00D91945" w:rsidRPr="00FB0EAC"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FB0EAC">
        <w:rPr>
          <w:rFonts w:ascii="Times New Roman" w:hAnsi="Times New Roman" w:cs="Times New Roman"/>
        </w:rPr>
        <w:t>SMELL:  What odors do you encounter here?  Do people reference smell?  Does it smell like other places you know?  Does the smell remind you of other places?</w:t>
      </w:r>
    </w:p>
    <w:p w14:paraId="55855992" w14:textId="77777777" w:rsidR="00D91945" w:rsidRPr="00FB0EAC"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FB0EAC">
        <w:rPr>
          <w:rFonts w:ascii="Times New Roman" w:hAnsi="Times New Roman" w:cs="Times New Roman"/>
        </w:rPr>
        <w:t>TOUCH: Is there anything here to touch or feel?  Are bodies close to each other?  Is this place sexually charged?  Is it intellectually charged?  What does the place make you feel like?  Where and how and when do people here touch each other?  Are you engaged in this touch?  Is the touch ritualistic or random?</w:t>
      </w:r>
    </w:p>
    <w:p w14:paraId="5F0FAE35" w14:textId="77777777" w:rsidR="00605712" w:rsidRDefault="00605712" w:rsidP="00D91945">
      <w:pPr>
        <w:rPr>
          <w:rFonts w:ascii="Times New Roman" w:hAnsi="Times New Roman" w:cs="Times New Roman"/>
        </w:rPr>
      </w:pPr>
    </w:p>
    <w:p w14:paraId="77CA1006" w14:textId="13528046" w:rsidR="00D91945" w:rsidRPr="00FB0EAC" w:rsidRDefault="00D91945" w:rsidP="00D91945">
      <w:pPr>
        <w:rPr>
          <w:rFonts w:ascii="Times New Roman" w:hAnsi="Times New Roman" w:cs="Times New Roman"/>
        </w:rPr>
      </w:pPr>
      <w:r w:rsidRPr="00FB0EAC">
        <w:rPr>
          <w:rFonts w:ascii="Times New Roman" w:hAnsi="Times New Roman" w:cs="Times New Roman"/>
        </w:rPr>
        <w:t>You should also note how you feel about being present at the site. Are you comfortable? Do you feel out of place? Are you interested in what you see? Are you comparing this context with a similar context in your own culture? Is this your own culture? What, specifically, makes you feel that way?</w:t>
      </w:r>
    </w:p>
    <w:p w14:paraId="1DD5BC27" w14:textId="77777777" w:rsidR="00D91945" w:rsidRDefault="00D91945" w:rsidP="00D91945">
      <w:pPr>
        <w:ind w:firstLine="720"/>
        <w:rPr>
          <w:rFonts w:ascii="Times New Roman" w:hAnsi="Times New Roman" w:cs="Times New Roman"/>
        </w:rPr>
      </w:pPr>
      <w:r w:rsidRPr="00FB0EAC">
        <w:rPr>
          <w:rFonts w:ascii="Times New Roman" w:hAnsi="Times New Roman" w:cs="Times New Roman"/>
        </w:rPr>
        <w:t xml:space="preserve">Keep in mind that these notes are just notes. They don’t have to be complete sentences or beautiful words. If your native language is not English and you are more comfortable writing quickly in your native language, these on-site notes, or “jottings,” don’t even have to be in English. What they do have to do is provide enough information for you to expand on </w:t>
      </w:r>
      <w:r>
        <w:rPr>
          <w:rFonts w:ascii="Times New Roman" w:hAnsi="Times New Roman" w:cs="Times New Roman"/>
        </w:rPr>
        <w:t>them when</w:t>
      </w:r>
      <w:r w:rsidRPr="00FB0EAC">
        <w:rPr>
          <w:rFonts w:ascii="Times New Roman" w:hAnsi="Times New Roman" w:cs="Times New Roman"/>
        </w:rPr>
        <w:t xml:space="preserve"> you revisit the notes to begin to write.  In several weeks, when you have recorded many, many pages of fieldnotes, you will read through them carefully, looking for patterns. What actions/behaviors/words/thoughts reoccur?  What did you find to be of extreme interest to you as you conducted your research? You will use those things to frame and write your final ethnography paper, but in the meantime, you’ll be working with your fieldnotes to produce quite a bit of writing.</w:t>
      </w:r>
      <w:r>
        <w:rPr>
          <w:rFonts w:ascii="Times New Roman" w:hAnsi="Times New Roman" w:cs="Times New Roman"/>
        </w:rPr>
        <w:t xml:space="preserve"> </w:t>
      </w:r>
      <w:hyperlink r:id="rId65" w:history="1">
        <w:r w:rsidRPr="00C64E01">
          <w:rPr>
            <w:rStyle w:val="Hyperlink"/>
            <w:rFonts w:ascii="Times New Roman" w:hAnsi="Times New Roman" w:cs="Times New Roman"/>
          </w:rPr>
          <w:t>http://www.engagingcommunities.org/writing-fieldnotes/4a-rhetorical-strategies-for-writing-observations/</w:t>
        </w:r>
      </w:hyperlink>
    </w:p>
    <w:p w14:paraId="2B9FF551" w14:textId="77777777" w:rsidR="00D91945" w:rsidRDefault="00D91945" w:rsidP="00D91945">
      <w:pPr>
        <w:rPr>
          <w:rFonts w:ascii="Times New Roman" w:hAnsi="Times New Roman" w:cs="Times New Roman"/>
        </w:rPr>
      </w:pPr>
      <w:r>
        <w:tab/>
        <w:t xml:space="preserve"> </w:t>
      </w:r>
      <w:r>
        <w:rPr>
          <w:rFonts w:ascii="Times New Roman" w:hAnsi="Times New Roman" w:cs="Times New Roman"/>
        </w:rPr>
        <w:t xml:space="preserve">You want to be sure to think about the best way to record your notes.  Maybe carry a notebook or </w:t>
      </w:r>
      <w:proofErr w:type="gramStart"/>
      <w:r>
        <w:rPr>
          <w:rFonts w:ascii="Times New Roman" w:hAnsi="Times New Roman" w:cs="Times New Roman"/>
        </w:rPr>
        <w:t>journal, or</w:t>
      </w:r>
      <w:proofErr w:type="gramEnd"/>
      <w:r>
        <w:rPr>
          <w:rFonts w:ascii="Times New Roman" w:hAnsi="Times New Roman" w:cs="Times New Roman"/>
        </w:rPr>
        <w:t xml:space="preserve"> use a computer to type them up in the field.  You want to decide whether you will take notes in the field or carve out time after. Also, you want to think about what photos and recordings you can take that will help you remember what you are observing.</w:t>
      </w:r>
    </w:p>
    <w:p w14:paraId="11F2D6F8" w14:textId="77777777" w:rsidR="00605712" w:rsidRDefault="00605712" w:rsidP="00D91945">
      <w:pPr>
        <w:rPr>
          <w:rStyle w:val="Heading2Char"/>
          <w:color w:val="auto"/>
        </w:rPr>
      </w:pPr>
    </w:p>
    <w:p w14:paraId="3292F367" w14:textId="779B0A9B" w:rsidR="00D91945" w:rsidRPr="00DD4E55" w:rsidRDefault="00D91945" w:rsidP="00D91945">
      <w:pPr>
        <w:rPr>
          <w:rFonts w:ascii="Times New Roman" w:hAnsi="Times New Roman" w:cs="Times New Roman"/>
        </w:rPr>
      </w:pPr>
      <w:r w:rsidRPr="009F6239">
        <w:rPr>
          <w:rStyle w:val="Heading2Char"/>
          <w:color w:val="auto"/>
        </w:rPr>
        <w:t>Characteristics of Field Notes</w:t>
      </w:r>
      <w:r>
        <w:rPr>
          <w:rStyle w:val="FootnoteReference"/>
          <w:rFonts w:asciiTheme="majorHAnsi" w:eastAsiaTheme="majorEastAsia" w:hAnsiTheme="majorHAnsi" w:cstheme="majorBidi"/>
          <w:sz w:val="26"/>
          <w:szCs w:val="26"/>
        </w:rPr>
        <w:footnoteReference w:id="40"/>
      </w:r>
      <w:r w:rsidRPr="009F6239">
        <w:rPr>
          <w:rFonts w:ascii="Times New Roman" w:hAnsi="Times New Roman" w:cs="Times New Roman"/>
        </w:rPr>
        <w:t xml:space="preserve"> </w:t>
      </w:r>
    </w:p>
    <w:p w14:paraId="4A907B20" w14:textId="77777777" w:rsidR="00D91945" w:rsidRPr="00371C20" w:rsidRDefault="00D91945" w:rsidP="00D91945">
      <w:pPr>
        <w:rPr>
          <w:rFonts w:ascii="Times New Roman" w:hAnsi="Times New Roman" w:cs="Times New Roman"/>
        </w:rPr>
      </w:pPr>
      <w:r w:rsidRPr="00371C20">
        <w:rPr>
          <w:rFonts w:ascii="Times New Roman" w:hAnsi="Times New Roman" w:cs="Times New Roman"/>
        </w:rPr>
        <w:t>The ways in which you take notes during an observational study is very much a personal decision developed over time as you become more experienced in observing. However, all field notes generally consist of two parts:</w:t>
      </w:r>
    </w:p>
    <w:p w14:paraId="23D06A1F" w14:textId="77777777" w:rsidR="00D91945" w:rsidRPr="00371C20" w:rsidRDefault="00D91945" w:rsidP="00D91945">
      <w:pPr>
        <w:ind w:firstLine="720"/>
        <w:rPr>
          <w:rFonts w:ascii="Times New Roman" w:hAnsi="Times New Roman" w:cs="Times New Roman"/>
        </w:rPr>
      </w:pPr>
      <w:r w:rsidRPr="00371C20">
        <w:rPr>
          <w:rFonts w:ascii="Times New Roman" w:hAnsi="Times New Roman" w:cs="Times New Roman"/>
        </w:rPr>
        <w:t>Descriptive information, in which you attempt to accurately document factual data [e.g., date and time] and the settings, actions, behaviors, and conversations that you observe; and,</w:t>
      </w:r>
    </w:p>
    <w:p w14:paraId="0D83E588" w14:textId="77777777" w:rsidR="00D91945" w:rsidRPr="00371C20" w:rsidRDefault="00D91945" w:rsidP="00D91945">
      <w:pPr>
        <w:ind w:firstLine="720"/>
        <w:rPr>
          <w:rFonts w:ascii="Times New Roman" w:hAnsi="Times New Roman" w:cs="Times New Roman"/>
        </w:rPr>
      </w:pPr>
      <w:r w:rsidRPr="00371C20">
        <w:rPr>
          <w:rFonts w:ascii="Times New Roman" w:hAnsi="Times New Roman" w:cs="Times New Roman"/>
        </w:rPr>
        <w:lastRenderedPageBreak/>
        <w:t xml:space="preserve">Reflective information, in which you record your </w:t>
      </w:r>
      <w:r>
        <w:rPr>
          <w:rFonts w:ascii="Times New Roman" w:hAnsi="Times New Roman" w:cs="Times New Roman"/>
        </w:rPr>
        <w:t>emotions, thoughts/theories</w:t>
      </w:r>
      <w:r w:rsidRPr="00371C20">
        <w:rPr>
          <w:rFonts w:ascii="Times New Roman" w:hAnsi="Times New Roman" w:cs="Times New Roman"/>
        </w:rPr>
        <w:t>, ideas, questions, and concerns as you are conducting the observation.</w:t>
      </w:r>
    </w:p>
    <w:p w14:paraId="180943B6" w14:textId="77777777" w:rsidR="00D91945" w:rsidRDefault="00D91945" w:rsidP="00D91945">
      <w:pPr>
        <w:rPr>
          <w:rFonts w:ascii="Times New Roman" w:hAnsi="Times New Roman" w:cs="Times New Roman"/>
        </w:rPr>
      </w:pPr>
      <w:r w:rsidRPr="00371C20">
        <w:rPr>
          <w:rFonts w:ascii="Times New Roman" w:hAnsi="Times New Roman" w:cs="Times New Roman"/>
        </w:rPr>
        <w:t>Field notes should be fleshed out as soon as possible after an observation is completed. Your initial notes may be recorded in cryptic form and, unless additional detail is added as soon as possible after the observation, important facts and opportunities for fully interpreting the data may be lost</w:t>
      </w:r>
    </w:p>
    <w:p w14:paraId="36776486" w14:textId="77777777" w:rsidR="00D91945" w:rsidRPr="00DD4E55" w:rsidRDefault="00D91945" w:rsidP="00D91945">
      <w:pPr>
        <w:rPr>
          <w:rFonts w:ascii="Times New Roman" w:hAnsi="Times New Roman" w:cs="Times New Roman"/>
        </w:rPr>
      </w:pPr>
      <w:proofErr w:type="gramStart"/>
      <w:r>
        <w:rPr>
          <w:rFonts w:ascii="Times New Roman" w:hAnsi="Times New Roman" w:cs="Times New Roman"/>
        </w:rPr>
        <w:t>So</w:t>
      </w:r>
      <w:proofErr w:type="gramEnd"/>
      <w:r>
        <w:rPr>
          <w:rFonts w:ascii="Times New Roman" w:hAnsi="Times New Roman" w:cs="Times New Roman"/>
        </w:rPr>
        <w:t xml:space="preserve"> what do our fieldnotes look like.  Here are some guidelines to help you.</w:t>
      </w:r>
    </w:p>
    <w:p w14:paraId="1D58467E" w14:textId="77777777" w:rsidR="00D91945" w:rsidRPr="003B10E8" w:rsidRDefault="00D91945" w:rsidP="00C23CDB">
      <w:pPr>
        <w:pStyle w:val="ListParagraph"/>
        <w:numPr>
          <w:ilvl w:val="0"/>
          <w:numId w:val="28"/>
        </w:numPr>
        <w:spacing w:after="160" w:line="259" w:lineRule="auto"/>
        <w:rPr>
          <w:rFonts w:ascii="Times New Roman" w:hAnsi="Times New Roman" w:cs="Times New Roman"/>
        </w:rPr>
      </w:pPr>
      <w:r w:rsidRPr="003B10E8">
        <w:rPr>
          <w:rFonts w:ascii="Times New Roman" w:hAnsi="Times New Roman" w:cs="Times New Roman"/>
        </w:rPr>
        <w:t xml:space="preserve">Be accurate. You only get one chance to observe a particular moment in time so, before you conduct your observations, practice taking notes in a setting that is similar to your observation site </w:t>
      </w:r>
      <w:proofErr w:type="gramStart"/>
      <w:r w:rsidRPr="003B10E8">
        <w:rPr>
          <w:rFonts w:ascii="Times New Roman" w:hAnsi="Times New Roman" w:cs="Times New Roman"/>
        </w:rPr>
        <w:t>in regards to</w:t>
      </w:r>
      <w:proofErr w:type="gramEnd"/>
      <w:r w:rsidRPr="003B10E8">
        <w:rPr>
          <w:rFonts w:ascii="Times New Roman" w:hAnsi="Times New Roman" w:cs="Times New Roman"/>
        </w:rPr>
        <w:t xml:space="preserve"> number of people, the environment, and social dynamics. This will help you develop your own style of transcribing observations quickly and accurately.</w:t>
      </w:r>
    </w:p>
    <w:p w14:paraId="5E951322" w14:textId="77777777" w:rsidR="00D91945" w:rsidRPr="003B10E8" w:rsidRDefault="00D91945" w:rsidP="00C23CDB">
      <w:pPr>
        <w:pStyle w:val="ListParagraph"/>
        <w:numPr>
          <w:ilvl w:val="0"/>
          <w:numId w:val="28"/>
        </w:numPr>
        <w:spacing w:after="160" w:line="259" w:lineRule="auto"/>
        <w:rPr>
          <w:rFonts w:ascii="Times New Roman" w:hAnsi="Times New Roman" w:cs="Times New Roman"/>
        </w:rPr>
      </w:pPr>
      <w:r w:rsidRPr="003B10E8">
        <w:rPr>
          <w:rFonts w:ascii="Times New Roman" w:hAnsi="Times New Roman" w:cs="Times New Roman"/>
        </w:rPr>
        <w:t xml:space="preserve">Be organized. Taking accurate notes while you are actively observing can be difficult. It is therefore important that you </w:t>
      </w:r>
      <w:proofErr w:type="gramStart"/>
      <w:r w:rsidRPr="003B10E8">
        <w:rPr>
          <w:rFonts w:ascii="Times New Roman" w:hAnsi="Times New Roman" w:cs="Times New Roman"/>
        </w:rPr>
        <w:t>plan ahead</w:t>
      </w:r>
      <w:proofErr w:type="gramEnd"/>
      <w:r w:rsidRPr="003B10E8">
        <w:rPr>
          <w:rFonts w:ascii="Times New Roman" w:hAnsi="Times New Roman" w:cs="Times New Roman"/>
        </w:rPr>
        <w:t xml:space="preserve"> how you will document your observation study [e.g., strictly chronologically or according to specific prompts]. Notes that are disorganized will make it more difficult for you to interpret the data.</w:t>
      </w:r>
    </w:p>
    <w:p w14:paraId="180BE482" w14:textId="77777777" w:rsidR="00D91945" w:rsidRPr="003B10E8" w:rsidRDefault="00D91945" w:rsidP="00C23CDB">
      <w:pPr>
        <w:pStyle w:val="ListParagraph"/>
        <w:numPr>
          <w:ilvl w:val="0"/>
          <w:numId w:val="28"/>
        </w:numPr>
        <w:spacing w:after="160" w:line="259" w:lineRule="auto"/>
        <w:rPr>
          <w:rFonts w:ascii="Times New Roman" w:hAnsi="Times New Roman" w:cs="Times New Roman"/>
        </w:rPr>
      </w:pPr>
      <w:r w:rsidRPr="003B10E8">
        <w:rPr>
          <w:rFonts w:ascii="Times New Roman" w:hAnsi="Times New Roman" w:cs="Times New Roman"/>
        </w:rPr>
        <w:t>Be descriptive. Use descriptive words to document what you observe. For example, instead of noting that a classroom appears "comfortable," state that the classroom includes soft lighting and cushioned chairs that can be moved around by the study participants. Being descriptive means supplying yourself with enough factual evidence that you don't end up making assumptions about what you meant when you write the final report.</w:t>
      </w:r>
      <w:r>
        <w:rPr>
          <w:rFonts w:ascii="Times New Roman" w:hAnsi="Times New Roman" w:cs="Times New Roman"/>
        </w:rPr>
        <w:t xml:space="preserve"> Others may not reach the same conclusions you do (</w:t>
      </w:r>
      <w:proofErr w:type="spellStart"/>
      <w:r>
        <w:rPr>
          <w:rFonts w:ascii="Times New Roman" w:hAnsi="Times New Roman" w:cs="Times New Roman"/>
        </w:rPr>
        <w:t>ie</w:t>
      </w:r>
      <w:proofErr w:type="spellEnd"/>
      <w:r>
        <w:rPr>
          <w:rFonts w:ascii="Times New Roman" w:hAnsi="Times New Roman" w:cs="Times New Roman"/>
        </w:rPr>
        <w:t>. comfortable), but if you have detailed field notes, they can at least see what you did.</w:t>
      </w:r>
    </w:p>
    <w:p w14:paraId="1B4A0AF2" w14:textId="77777777" w:rsidR="00D91945" w:rsidRPr="003B10E8" w:rsidRDefault="00D91945" w:rsidP="00C23CDB">
      <w:pPr>
        <w:pStyle w:val="ListParagraph"/>
        <w:numPr>
          <w:ilvl w:val="0"/>
          <w:numId w:val="28"/>
        </w:numPr>
        <w:spacing w:after="160" w:line="259" w:lineRule="auto"/>
        <w:rPr>
          <w:rFonts w:ascii="Times New Roman" w:hAnsi="Times New Roman" w:cs="Times New Roman"/>
        </w:rPr>
      </w:pPr>
      <w:r w:rsidRPr="003B10E8">
        <w:rPr>
          <w:rFonts w:ascii="Times New Roman" w:hAnsi="Times New Roman" w:cs="Times New Roman"/>
        </w:rPr>
        <w:t>Focus on the research problem. Since it's impossible to document everything you observe, include the greatest detail about aspects of the research problem and the theoretical constructs underpinning your research; avoid cluttering your notes with irrelevant information. For example, if the purpose of your study is to observe the discursive interactions between nursing home staff and the family members of residents, then it would only be necessary to document the setting in detail if it in some way directly influenced those interactions [e.g., there is a private room available for discussions between staff and family members].</w:t>
      </w:r>
    </w:p>
    <w:p w14:paraId="0292B6D7" w14:textId="77777777" w:rsidR="00D91945" w:rsidRDefault="00D91945" w:rsidP="00C23CDB">
      <w:pPr>
        <w:pStyle w:val="ListParagraph"/>
        <w:numPr>
          <w:ilvl w:val="0"/>
          <w:numId w:val="28"/>
        </w:numPr>
        <w:spacing w:after="160" w:line="259" w:lineRule="auto"/>
        <w:rPr>
          <w:rFonts w:ascii="Times New Roman" w:hAnsi="Times New Roman" w:cs="Times New Roman"/>
        </w:rPr>
      </w:pPr>
      <w:r w:rsidRPr="003B10E8">
        <w:rPr>
          <w:rFonts w:ascii="Times New Roman" w:hAnsi="Times New Roman" w:cs="Times New Roman"/>
        </w:rPr>
        <w:t>Record insights and thoughts. As you observe, be thinking about the underlying meaning of what you observe and record your thoughts and ideas accordingly. This will help if you to ask questions or seek clarification from participants after the observation. To avoid any confusion, subsequent comments from participants should be included in a separate, reflective part of your field notes and not merged with the descriptive notes.</w:t>
      </w:r>
    </w:p>
    <w:p w14:paraId="517D102D" w14:textId="77777777" w:rsidR="00D91945" w:rsidRPr="001D338A" w:rsidRDefault="00D91945" w:rsidP="00D91945">
      <w:pPr>
        <w:rPr>
          <w:rFonts w:ascii="Times New Roman" w:hAnsi="Times New Roman" w:cs="Times New Roman"/>
        </w:rPr>
      </w:pPr>
      <w:r>
        <w:rPr>
          <w:rFonts w:ascii="Times New Roman" w:hAnsi="Times New Roman" w:cs="Times New Roman"/>
        </w:rPr>
        <w:t xml:space="preserve"> Here are some general guidelines for taking descriptive notes:</w:t>
      </w:r>
    </w:p>
    <w:p w14:paraId="45E25F6C" w14:textId="77777777" w:rsidR="00D91945" w:rsidRPr="001D338A"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1D338A">
        <w:rPr>
          <w:rFonts w:ascii="Times New Roman" w:hAnsi="Times New Roman" w:cs="Times New Roman"/>
        </w:rPr>
        <w:t>Describe the physical setting.</w:t>
      </w:r>
    </w:p>
    <w:p w14:paraId="1873913F" w14:textId="77777777" w:rsidR="00D91945" w:rsidRPr="001D338A"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1D338A">
        <w:rPr>
          <w:rFonts w:ascii="Times New Roman" w:hAnsi="Times New Roman" w:cs="Times New Roman"/>
        </w:rPr>
        <w:t>Describe the social environment and the way in which participants interacted within the setting. This may include patterns of interactions, frequency of interactions, direction of communication patterns [including non-verbal communication], and patterns of specific behavioral events, such as, conflicts, decision-making, or collaboration.</w:t>
      </w:r>
    </w:p>
    <w:p w14:paraId="2497DDA7" w14:textId="77777777" w:rsidR="00D91945" w:rsidRPr="001D338A"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1D338A">
        <w:rPr>
          <w:rFonts w:ascii="Times New Roman" w:hAnsi="Times New Roman" w:cs="Times New Roman"/>
        </w:rPr>
        <w:t>Describe the participants and their roles in the setting.</w:t>
      </w:r>
    </w:p>
    <w:p w14:paraId="711F193F" w14:textId="77777777" w:rsidR="00D91945" w:rsidRPr="001D338A"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1D338A">
        <w:rPr>
          <w:rFonts w:ascii="Times New Roman" w:hAnsi="Times New Roman" w:cs="Times New Roman"/>
        </w:rPr>
        <w:lastRenderedPageBreak/>
        <w:t>Describe, as best you can, the meaning of what was observed from the perspectives of the participants.</w:t>
      </w:r>
    </w:p>
    <w:p w14:paraId="51186DF6" w14:textId="77777777" w:rsidR="00D91945" w:rsidRPr="001D338A"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1D338A">
        <w:rPr>
          <w:rFonts w:ascii="Times New Roman" w:hAnsi="Times New Roman" w:cs="Times New Roman"/>
        </w:rPr>
        <w:t>Record exact quotes or close approximations of comments that relate directly to the purpose of the study.</w:t>
      </w:r>
    </w:p>
    <w:p w14:paraId="313F5BBF" w14:textId="77777777" w:rsidR="00D91945" w:rsidRPr="001D338A"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1D338A">
        <w:rPr>
          <w:rFonts w:ascii="Times New Roman" w:hAnsi="Times New Roman" w:cs="Times New Roman"/>
        </w:rPr>
        <w:t>Describe any impact you might have had on the situation you observed [important!].</w:t>
      </w:r>
    </w:p>
    <w:p w14:paraId="66AF7F02" w14:textId="77777777" w:rsidR="00D91945" w:rsidRPr="001D338A"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Pr>
          <w:rFonts w:ascii="Times New Roman" w:hAnsi="Times New Roman" w:cs="Times New Roman"/>
        </w:rPr>
        <w:t>And here are some g</w:t>
      </w:r>
      <w:r w:rsidRPr="001D338A">
        <w:rPr>
          <w:rFonts w:ascii="Times New Roman" w:hAnsi="Times New Roman" w:cs="Times New Roman"/>
        </w:rPr>
        <w:t xml:space="preserve">eneral </w:t>
      </w:r>
      <w:r>
        <w:rPr>
          <w:rFonts w:ascii="Times New Roman" w:hAnsi="Times New Roman" w:cs="Times New Roman"/>
        </w:rPr>
        <w:t>g</w:t>
      </w:r>
      <w:r w:rsidRPr="001D338A">
        <w:rPr>
          <w:rFonts w:ascii="Times New Roman" w:hAnsi="Times New Roman" w:cs="Times New Roman"/>
        </w:rPr>
        <w:t xml:space="preserve">uidelines for the </w:t>
      </w:r>
      <w:r>
        <w:rPr>
          <w:rFonts w:ascii="Times New Roman" w:hAnsi="Times New Roman" w:cs="Times New Roman"/>
        </w:rPr>
        <w:t>r</w:t>
      </w:r>
      <w:r w:rsidRPr="001D338A">
        <w:rPr>
          <w:rFonts w:ascii="Times New Roman" w:hAnsi="Times New Roman" w:cs="Times New Roman"/>
        </w:rPr>
        <w:t>eflective</w:t>
      </w:r>
      <w:r>
        <w:rPr>
          <w:rFonts w:ascii="Times New Roman" w:hAnsi="Times New Roman" w:cs="Times New Roman"/>
        </w:rPr>
        <w:t xml:space="preserve"> c</w:t>
      </w:r>
      <w:r w:rsidRPr="001D338A">
        <w:rPr>
          <w:rFonts w:ascii="Times New Roman" w:hAnsi="Times New Roman" w:cs="Times New Roman"/>
        </w:rPr>
        <w:t>ontent</w:t>
      </w:r>
      <w:r>
        <w:rPr>
          <w:rFonts w:ascii="Times New Roman" w:hAnsi="Times New Roman" w:cs="Times New Roman"/>
        </w:rPr>
        <w:t>:</w:t>
      </w:r>
    </w:p>
    <w:p w14:paraId="75A85AA5" w14:textId="77777777" w:rsidR="00D91945" w:rsidRPr="001D338A"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1D338A">
        <w:rPr>
          <w:rFonts w:ascii="Times New Roman" w:hAnsi="Times New Roman" w:cs="Times New Roman"/>
        </w:rPr>
        <w:t>Note ideas, impressions, thoughts, and/or any criticisms you have about what you observed.</w:t>
      </w:r>
    </w:p>
    <w:p w14:paraId="56AA73DC" w14:textId="77777777" w:rsidR="00D91945" w:rsidRPr="001D338A"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1D338A">
        <w:rPr>
          <w:rFonts w:ascii="Times New Roman" w:hAnsi="Times New Roman" w:cs="Times New Roman"/>
        </w:rPr>
        <w:t>Include any unanswered questions or concerns that have arisen from analyzing the observation data.</w:t>
      </w:r>
    </w:p>
    <w:p w14:paraId="642BABF1" w14:textId="77777777" w:rsidR="00D91945" w:rsidRPr="001D338A"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1D338A">
        <w:rPr>
          <w:rFonts w:ascii="Times New Roman" w:hAnsi="Times New Roman" w:cs="Times New Roman"/>
        </w:rPr>
        <w:t>Clarify points and/or correct mistakes and misunderstandings in other parts of field notes.</w:t>
      </w:r>
    </w:p>
    <w:p w14:paraId="7A702167" w14:textId="77777777" w:rsidR="00D91945" w:rsidRPr="001D338A"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1D338A">
        <w:rPr>
          <w:rFonts w:ascii="Times New Roman" w:hAnsi="Times New Roman" w:cs="Times New Roman"/>
        </w:rPr>
        <w:t>Include insights about what you have observed and speculate as to why you believe specific phenomenon occurred.</w:t>
      </w:r>
    </w:p>
    <w:p w14:paraId="3ABE58FD" w14:textId="77777777" w:rsidR="00D91945" w:rsidRDefault="00D91945" w:rsidP="00D91945">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1D338A">
        <w:rPr>
          <w:rFonts w:ascii="Times New Roman" w:hAnsi="Times New Roman" w:cs="Times New Roman"/>
        </w:rPr>
        <w:t>Record any thoughts that you may have regarding any future observations.</w:t>
      </w:r>
    </w:p>
    <w:p w14:paraId="3368C365" w14:textId="77777777" w:rsidR="00D91945" w:rsidRDefault="00D91945" w:rsidP="00D91945">
      <w:pPr>
        <w:rPr>
          <w:rFonts w:ascii="Times New Roman" w:hAnsi="Times New Roman" w:cs="Times New Roman"/>
        </w:rPr>
      </w:pPr>
    </w:p>
    <w:p w14:paraId="551CB93B" w14:textId="77777777" w:rsidR="00D91945" w:rsidRPr="009F6239" w:rsidRDefault="00D91945" w:rsidP="00D91945">
      <w:pPr>
        <w:pStyle w:val="Heading2"/>
        <w:rPr>
          <w:color w:val="auto"/>
        </w:rPr>
      </w:pPr>
      <w:r w:rsidRPr="009F6239">
        <w:rPr>
          <w:color w:val="auto"/>
        </w:rPr>
        <w:t>Templates for Fieldnotes</w:t>
      </w:r>
    </w:p>
    <w:p w14:paraId="49FAE779" w14:textId="77777777" w:rsidR="00D91945" w:rsidRDefault="00D91945" w:rsidP="00D91945">
      <w:pPr>
        <w:ind w:firstLine="720"/>
        <w:rPr>
          <w:rFonts w:ascii="Times New Roman" w:hAnsi="Times New Roman" w:cs="Times New Roman"/>
        </w:rPr>
      </w:pPr>
      <w:r>
        <w:rPr>
          <w:rFonts w:ascii="Times New Roman" w:hAnsi="Times New Roman" w:cs="Times New Roman"/>
        </w:rPr>
        <w:t xml:space="preserve">So how to you </w:t>
      </w:r>
      <w:proofErr w:type="gramStart"/>
      <w:r>
        <w:rPr>
          <w:rFonts w:ascii="Times New Roman" w:hAnsi="Times New Roman" w:cs="Times New Roman"/>
        </w:rPr>
        <w:t>actually capture</w:t>
      </w:r>
      <w:proofErr w:type="gramEnd"/>
      <w:r>
        <w:rPr>
          <w:rFonts w:ascii="Times New Roman" w:hAnsi="Times New Roman" w:cs="Times New Roman"/>
        </w:rPr>
        <w:t xml:space="preserve"> your notes.  There are lots of templates and ways that ethnographers use. You want to find the one that is best for you.  Here are some examples to check out.</w:t>
      </w:r>
    </w:p>
    <w:p w14:paraId="398EDB08" w14:textId="77777777" w:rsidR="00D91945" w:rsidRDefault="00D91945" w:rsidP="00D91945">
      <w:pPr>
        <w:rPr>
          <w:rFonts w:ascii="Times New Roman" w:hAnsi="Times New Roman" w:cs="Times New Roman"/>
        </w:rPr>
      </w:pPr>
      <w:r>
        <w:rPr>
          <w:rFonts w:ascii="Times New Roman" w:hAnsi="Times New Roman" w:cs="Times New Roman"/>
        </w:rPr>
        <w:t xml:space="preserve">Here is a blog that shares one ethnographer’s process- </w:t>
      </w:r>
      <w:hyperlink r:id="rId66" w:history="1">
        <w:r w:rsidRPr="00837409">
          <w:rPr>
            <w:rStyle w:val="Hyperlink"/>
            <w:rFonts w:ascii="Times New Roman" w:hAnsi="Times New Roman" w:cs="Times New Roman"/>
          </w:rPr>
          <w:t>https://anthropod.net/2013/08/14/a-template-for-writing-fieldnotes/</w:t>
        </w:r>
      </w:hyperlink>
    </w:p>
    <w:p w14:paraId="3875A616" w14:textId="77777777" w:rsidR="00D91945" w:rsidRDefault="00D91945" w:rsidP="00D91945">
      <w:pPr>
        <w:rPr>
          <w:rFonts w:ascii="Times New Roman" w:hAnsi="Times New Roman" w:cs="Times New Roman"/>
        </w:rPr>
      </w:pPr>
    </w:p>
    <w:p w14:paraId="14716E37" w14:textId="77777777" w:rsidR="00D91945" w:rsidRDefault="00D91945" w:rsidP="00D91945">
      <w:pPr>
        <w:rPr>
          <w:rFonts w:ascii="Times New Roman" w:hAnsi="Times New Roman" w:cs="Times New Roman"/>
        </w:rPr>
      </w:pPr>
      <w:r>
        <w:rPr>
          <w:rFonts w:ascii="Times New Roman" w:hAnsi="Times New Roman" w:cs="Times New Roman"/>
        </w:rPr>
        <w:t xml:space="preserve">And here is another template that you can take into the field- </w:t>
      </w:r>
      <w:hyperlink r:id="rId67" w:history="1">
        <w:r w:rsidRPr="00837409">
          <w:rPr>
            <w:rStyle w:val="Hyperlink"/>
            <w:rFonts w:ascii="Times New Roman" w:hAnsi="Times New Roman" w:cs="Times New Roman"/>
          </w:rPr>
          <w:t>https://www.silearning.eu/wp-content/uploads/2017/04/ethnographic-fieldnotes.pdf</w:t>
        </w:r>
      </w:hyperlink>
    </w:p>
    <w:p w14:paraId="5E9DEDC0" w14:textId="77777777" w:rsidR="00D91945" w:rsidRPr="009F6239" w:rsidRDefault="00D91945" w:rsidP="00D91945">
      <w:pPr>
        <w:pStyle w:val="Heading2"/>
        <w:rPr>
          <w:color w:val="auto"/>
        </w:rPr>
      </w:pPr>
      <w:r w:rsidRPr="009F6239">
        <w:rPr>
          <w:color w:val="auto"/>
        </w:rPr>
        <w:t>Storing your Notes</w:t>
      </w:r>
    </w:p>
    <w:p w14:paraId="6BB6BA4F" w14:textId="77777777" w:rsidR="00D91945" w:rsidRDefault="00D91945" w:rsidP="00D91945">
      <w:pPr>
        <w:rPr>
          <w:rFonts w:ascii="Times New Roman" w:hAnsi="Times New Roman" w:cs="Times New Roman"/>
        </w:rPr>
      </w:pPr>
      <w:r>
        <w:rPr>
          <w:rFonts w:ascii="Times New Roman" w:hAnsi="Times New Roman" w:cs="Times New Roman"/>
        </w:rPr>
        <w:tab/>
        <w:t xml:space="preserve">Once you collect your data (be it in words, pictures and videos), you want to find a safe and secure way to store it.  If you save your notes and pictures electronically be sure that they are password protected and backed-up.  For written notes, find a secure and locked file cabinet to keep them in.  Remember the notes are your data—without them you do not have an ethnographic research project. </w:t>
      </w:r>
    </w:p>
    <w:p w14:paraId="5C16678D" w14:textId="77777777" w:rsidR="00D91945" w:rsidRPr="00C77056" w:rsidRDefault="00D91945" w:rsidP="00D91945">
      <w:pPr>
        <w:pStyle w:val="Heading2"/>
        <w:rPr>
          <w:color w:val="auto"/>
        </w:rPr>
      </w:pPr>
      <w:r w:rsidRPr="00555C67">
        <w:rPr>
          <w:color w:val="auto"/>
        </w:rPr>
        <w:t>Conclusion</w:t>
      </w:r>
    </w:p>
    <w:p w14:paraId="628F79FE" w14:textId="77777777" w:rsidR="00D91945" w:rsidRDefault="00D91945" w:rsidP="00D91945">
      <w:pPr>
        <w:rPr>
          <w:rFonts w:ascii="Times New Roman" w:hAnsi="Times New Roman" w:cs="Times New Roman"/>
        </w:rPr>
      </w:pPr>
      <w:r>
        <w:rPr>
          <w:rFonts w:ascii="Times New Roman" w:hAnsi="Times New Roman" w:cs="Times New Roman"/>
        </w:rPr>
        <w:tab/>
        <w:t>In this chapter we learned the ways that ethnographers gather data when they are in field sites to conduct research.  We explored how ethnographers collect their data, the role of field notes, and guidelines to create and store your field notes.</w:t>
      </w:r>
    </w:p>
    <w:p w14:paraId="3547E316" w14:textId="77777777" w:rsidR="00D91945" w:rsidRDefault="00D91945" w:rsidP="00D91945">
      <w:pPr>
        <w:rPr>
          <w:rFonts w:ascii="Times New Roman" w:hAnsi="Times New Roman" w:cs="Times New Roman"/>
        </w:rPr>
      </w:pPr>
    </w:p>
    <w:p w14:paraId="21DF865B" w14:textId="77777777" w:rsidR="00D91945" w:rsidRDefault="00D91945" w:rsidP="00D91945">
      <w:pPr>
        <w:rPr>
          <w:rFonts w:ascii="Times New Roman" w:hAnsi="Times New Roman" w:cs="Times New Roman"/>
        </w:rPr>
      </w:pPr>
    </w:p>
    <w:p w14:paraId="17320FDA" w14:textId="77777777" w:rsidR="00D91945" w:rsidRPr="007D75EF" w:rsidRDefault="00D91945" w:rsidP="00D91945">
      <w:pPr>
        <w:pStyle w:val="Heading2"/>
        <w:rPr>
          <w:color w:val="auto"/>
        </w:rPr>
      </w:pPr>
      <w:r>
        <w:rPr>
          <w:color w:val="auto"/>
        </w:rPr>
        <w:t>K</w:t>
      </w:r>
      <w:r w:rsidRPr="007D75EF">
        <w:rPr>
          <w:color w:val="auto"/>
        </w:rPr>
        <w:t>ey Terms</w:t>
      </w:r>
    </w:p>
    <w:p w14:paraId="7696D9E9" w14:textId="77777777" w:rsidR="00D91945" w:rsidRDefault="00D91945" w:rsidP="00D91945">
      <w:pPr>
        <w:rPr>
          <w:rFonts w:ascii="Times New Roman" w:hAnsi="Times New Roman" w:cs="Times New Roman"/>
        </w:rPr>
      </w:pPr>
      <w:r>
        <w:rPr>
          <w:rFonts w:ascii="Times New Roman" w:hAnsi="Times New Roman" w:cs="Times New Roman"/>
        </w:rPr>
        <w:t>Field sites</w:t>
      </w:r>
    </w:p>
    <w:p w14:paraId="1432B6EF" w14:textId="77777777" w:rsidR="00D91945" w:rsidRDefault="00D91945" w:rsidP="00D91945">
      <w:pPr>
        <w:rPr>
          <w:rFonts w:ascii="Times New Roman" w:hAnsi="Times New Roman" w:cs="Times New Roman"/>
        </w:rPr>
      </w:pPr>
      <w:r>
        <w:rPr>
          <w:rFonts w:ascii="Times New Roman" w:hAnsi="Times New Roman" w:cs="Times New Roman"/>
        </w:rPr>
        <w:t xml:space="preserve">Triangulation </w:t>
      </w:r>
    </w:p>
    <w:p w14:paraId="78A0A8E4" w14:textId="77777777" w:rsidR="00D91945" w:rsidRDefault="00D91945" w:rsidP="00D91945">
      <w:pPr>
        <w:rPr>
          <w:rFonts w:ascii="Times New Roman" w:hAnsi="Times New Roman" w:cs="Times New Roman"/>
        </w:rPr>
      </w:pPr>
      <w:r>
        <w:rPr>
          <w:rFonts w:ascii="Times New Roman" w:hAnsi="Times New Roman" w:cs="Times New Roman"/>
        </w:rPr>
        <w:t>Field notes</w:t>
      </w:r>
    </w:p>
    <w:p w14:paraId="467C2A44" w14:textId="77777777" w:rsidR="00D91945" w:rsidRPr="00C77056" w:rsidRDefault="00D91945" w:rsidP="00D91945">
      <w:pPr>
        <w:rPr>
          <w:rFonts w:ascii="Times New Roman" w:hAnsi="Times New Roman" w:cs="Times New Roman"/>
        </w:rPr>
      </w:pPr>
      <w:r>
        <w:rPr>
          <w:rFonts w:ascii="Times New Roman" w:hAnsi="Times New Roman" w:cs="Times New Roman"/>
        </w:rPr>
        <w:t xml:space="preserve">Jottings </w:t>
      </w:r>
    </w:p>
    <w:p w14:paraId="6EB5AAB0" w14:textId="77777777" w:rsidR="00605712" w:rsidRDefault="00605712" w:rsidP="00D91945">
      <w:pPr>
        <w:pStyle w:val="Heading2"/>
        <w:rPr>
          <w:color w:val="auto"/>
        </w:rPr>
      </w:pPr>
    </w:p>
    <w:p w14:paraId="246E3ADC" w14:textId="2C2DA8E9" w:rsidR="00D91945" w:rsidRDefault="00D91945" w:rsidP="00D91945">
      <w:pPr>
        <w:pStyle w:val="Heading2"/>
      </w:pPr>
      <w:r w:rsidRPr="007D75EF">
        <w:rPr>
          <w:color w:val="auto"/>
        </w:rPr>
        <w:t>Chapter Questions</w:t>
      </w:r>
    </w:p>
    <w:p w14:paraId="33D4E0B1" w14:textId="77777777" w:rsidR="00D91945" w:rsidRDefault="00D91945" w:rsidP="00D91945">
      <w:pPr>
        <w:rPr>
          <w:rFonts w:ascii="Times New Roman" w:hAnsi="Times New Roman" w:cs="Times New Roman"/>
        </w:rPr>
      </w:pPr>
      <w:r>
        <w:rPr>
          <w:rFonts w:ascii="Times New Roman" w:hAnsi="Times New Roman" w:cs="Times New Roman"/>
        </w:rPr>
        <w:t>1. What are some examples of field sites that you would be interested in studying using ethnography?</w:t>
      </w:r>
    </w:p>
    <w:p w14:paraId="08BCA6D1" w14:textId="77777777" w:rsidR="00D91945" w:rsidRDefault="00D91945" w:rsidP="00D91945">
      <w:pPr>
        <w:rPr>
          <w:rFonts w:ascii="Times New Roman" w:hAnsi="Times New Roman" w:cs="Times New Roman"/>
        </w:rPr>
      </w:pPr>
      <w:r>
        <w:rPr>
          <w:rFonts w:ascii="Times New Roman" w:hAnsi="Times New Roman" w:cs="Times New Roman"/>
        </w:rPr>
        <w:t>2. What are some key things you should do as an ethnographer before you enter a field site to conduct research and prepare for collecting field notes?</w:t>
      </w:r>
    </w:p>
    <w:p w14:paraId="48586276" w14:textId="77777777" w:rsidR="00D91945" w:rsidRDefault="00D91945" w:rsidP="00D91945">
      <w:pPr>
        <w:rPr>
          <w:rFonts w:ascii="Times New Roman" w:hAnsi="Times New Roman" w:cs="Times New Roman"/>
        </w:rPr>
      </w:pPr>
      <w:r>
        <w:rPr>
          <w:rFonts w:ascii="Times New Roman" w:hAnsi="Times New Roman" w:cs="Times New Roman"/>
        </w:rPr>
        <w:t>3. What are ways researchers engage all five senses in a field site to collect field notes?</w:t>
      </w:r>
    </w:p>
    <w:p w14:paraId="01C62E19" w14:textId="77777777" w:rsidR="00D91945" w:rsidRDefault="00D91945" w:rsidP="00D91945">
      <w:pPr>
        <w:rPr>
          <w:rFonts w:ascii="Times New Roman" w:hAnsi="Times New Roman" w:cs="Times New Roman"/>
        </w:rPr>
      </w:pPr>
      <w:r>
        <w:rPr>
          <w:rFonts w:ascii="Times New Roman" w:hAnsi="Times New Roman" w:cs="Times New Roman"/>
        </w:rPr>
        <w:t>4. What are some guidelines researchers use to collect field notes?</w:t>
      </w:r>
    </w:p>
    <w:p w14:paraId="2AE337C5" w14:textId="77777777" w:rsidR="00D91945" w:rsidRDefault="00D91945" w:rsidP="00D91945">
      <w:pPr>
        <w:rPr>
          <w:rFonts w:ascii="Times New Roman" w:hAnsi="Times New Roman" w:cs="Times New Roman"/>
        </w:rPr>
      </w:pPr>
      <w:r>
        <w:rPr>
          <w:rFonts w:ascii="Times New Roman" w:hAnsi="Times New Roman" w:cs="Times New Roman"/>
        </w:rPr>
        <w:t>5. What are some guidelines researchers follow to store their fieldnotes ethically and safely?</w:t>
      </w:r>
    </w:p>
    <w:p w14:paraId="3101199F" w14:textId="77777777" w:rsidR="00605712" w:rsidRDefault="00605712" w:rsidP="00D91945">
      <w:pPr>
        <w:pStyle w:val="Heading2"/>
        <w:rPr>
          <w:color w:val="auto"/>
        </w:rPr>
      </w:pPr>
    </w:p>
    <w:p w14:paraId="69DF4D5E" w14:textId="4A621D0B" w:rsidR="00D91945" w:rsidRDefault="00D91945" w:rsidP="00D91945">
      <w:pPr>
        <w:pStyle w:val="Heading2"/>
      </w:pPr>
      <w:r>
        <w:rPr>
          <w:color w:val="auto"/>
        </w:rPr>
        <w:t>References</w:t>
      </w:r>
    </w:p>
    <w:p w14:paraId="36A806F6" w14:textId="77777777" w:rsidR="00D91945" w:rsidRDefault="00D91945" w:rsidP="00D91945">
      <w:pPr>
        <w:rPr>
          <w:rFonts w:ascii="Times New Roman" w:hAnsi="Times New Roman" w:cs="Times New Roman"/>
        </w:rPr>
      </w:pPr>
      <w:r w:rsidRPr="00BC163A">
        <w:rPr>
          <w:rFonts w:ascii="Times New Roman" w:hAnsi="Times New Roman" w:cs="Times New Roman"/>
        </w:rPr>
        <w:t xml:space="preserve">Schwandt, Thomas </w:t>
      </w:r>
      <w:proofErr w:type="gramStart"/>
      <w:r w:rsidRPr="00BC163A">
        <w:rPr>
          <w:rFonts w:ascii="Times New Roman" w:hAnsi="Times New Roman" w:cs="Times New Roman"/>
        </w:rPr>
        <w:t>A.</w:t>
      </w:r>
      <w:r>
        <w:rPr>
          <w:rFonts w:ascii="Times New Roman" w:hAnsi="Times New Roman" w:cs="Times New Roman"/>
        </w:rPr>
        <w:t>(</w:t>
      </w:r>
      <w:proofErr w:type="gramEnd"/>
      <w:r>
        <w:rPr>
          <w:rFonts w:ascii="Times New Roman" w:hAnsi="Times New Roman" w:cs="Times New Roman"/>
        </w:rPr>
        <w:t>2015)</w:t>
      </w:r>
      <w:r w:rsidRPr="00BC163A">
        <w:rPr>
          <w:rFonts w:ascii="Times New Roman" w:hAnsi="Times New Roman" w:cs="Times New Roman"/>
        </w:rPr>
        <w:t xml:space="preserve"> </w:t>
      </w:r>
      <w:r w:rsidRPr="00695F9A">
        <w:rPr>
          <w:rFonts w:ascii="Times New Roman" w:hAnsi="Times New Roman" w:cs="Times New Roman"/>
          <w:i/>
          <w:iCs/>
        </w:rPr>
        <w:t>The SAGE Dictionary of Qualitative Inquiry. 4th edition</w:t>
      </w:r>
      <w:r w:rsidRPr="00BC163A">
        <w:rPr>
          <w:rFonts w:ascii="Times New Roman" w:hAnsi="Times New Roman" w:cs="Times New Roman"/>
        </w:rPr>
        <w:t>. Thousand Oaks, CA: SAGE</w:t>
      </w:r>
      <w:r>
        <w:rPr>
          <w:rFonts w:ascii="Times New Roman" w:hAnsi="Times New Roman" w:cs="Times New Roman"/>
        </w:rPr>
        <w:t>.</w:t>
      </w:r>
      <w:r w:rsidRPr="00BC163A">
        <w:rPr>
          <w:rFonts w:ascii="Times New Roman" w:hAnsi="Times New Roman" w:cs="Times New Roman"/>
        </w:rPr>
        <w:t xml:space="preserve"> </w:t>
      </w:r>
    </w:p>
    <w:p w14:paraId="671FCFD9" w14:textId="77777777" w:rsidR="00D91945" w:rsidRPr="00C77056" w:rsidRDefault="00D91945" w:rsidP="00D91945"/>
    <w:p w14:paraId="0E9930CD" w14:textId="261E2F36" w:rsidR="00D91945" w:rsidRDefault="00D91945">
      <w:r>
        <w:br w:type="page"/>
      </w:r>
    </w:p>
    <w:p w14:paraId="370D1031" w14:textId="77777777" w:rsidR="00D91945" w:rsidRPr="000C2A83" w:rsidRDefault="00D91945" w:rsidP="00D91945">
      <w:pPr>
        <w:outlineLvl w:val="1"/>
        <w:rPr>
          <w:rFonts w:ascii="Times New Roman" w:hAnsi="Times New Roman" w:cs="Times New Roman"/>
          <w:b/>
        </w:rPr>
      </w:pPr>
    </w:p>
    <w:p w14:paraId="0B32EB2A" w14:textId="77777777" w:rsidR="00D91945" w:rsidRPr="000C2A83" w:rsidRDefault="00D91945" w:rsidP="00D91945">
      <w:pPr>
        <w:pStyle w:val="Heading1"/>
        <w:spacing w:before="0"/>
        <w:jc w:val="center"/>
        <w:rPr>
          <w:rFonts w:ascii="Times New Roman" w:hAnsi="Times New Roman" w:cs="Times New Roman"/>
          <w:color w:val="auto"/>
        </w:rPr>
      </w:pPr>
      <w:r w:rsidRPr="000C2A83">
        <w:rPr>
          <w:rFonts w:ascii="Times New Roman" w:hAnsi="Times New Roman" w:cs="Times New Roman"/>
          <w:color w:val="auto"/>
        </w:rPr>
        <w:t>Observations</w:t>
      </w:r>
    </w:p>
    <w:p w14:paraId="3B74690C" w14:textId="77777777" w:rsidR="00D91945" w:rsidRDefault="00D91945" w:rsidP="00D91945">
      <w:pPr>
        <w:jc w:val="center"/>
        <w:rPr>
          <w:rFonts w:ascii="Times New Roman" w:hAnsi="Times New Roman" w:cs="Times New Roman"/>
        </w:rPr>
      </w:pPr>
      <w:r w:rsidRPr="000C2A83">
        <w:rPr>
          <w:rFonts w:ascii="Times New Roman" w:hAnsi="Times New Roman" w:cs="Times New Roman"/>
        </w:rPr>
        <w:t xml:space="preserve">Nicole </w:t>
      </w:r>
      <w:proofErr w:type="spellStart"/>
      <w:r w:rsidRPr="000C2A83">
        <w:rPr>
          <w:rFonts w:ascii="Times New Roman" w:hAnsi="Times New Roman" w:cs="Times New Roman"/>
        </w:rPr>
        <w:t>Kras</w:t>
      </w:r>
      <w:proofErr w:type="spellEnd"/>
      <w:r w:rsidRPr="000C2A83">
        <w:rPr>
          <w:rFonts w:ascii="Times New Roman" w:hAnsi="Times New Roman" w:cs="Times New Roman"/>
        </w:rPr>
        <w:t>, Ph.D.</w:t>
      </w:r>
    </w:p>
    <w:p w14:paraId="7BEED370" w14:textId="77777777" w:rsidR="00D91945" w:rsidRPr="000C2A83" w:rsidRDefault="00D91945" w:rsidP="00D91945">
      <w:pPr>
        <w:jc w:val="center"/>
        <w:rPr>
          <w:rFonts w:ascii="Times New Roman" w:hAnsi="Times New Roman" w:cs="Times New Roman"/>
        </w:rPr>
      </w:pPr>
    </w:p>
    <w:p w14:paraId="143266FA" w14:textId="77777777" w:rsidR="00D91945" w:rsidRPr="000C2A83" w:rsidRDefault="00D91945" w:rsidP="00D91945">
      <w:pPr>
        <w:ind w:firstLine="720"/>
        <w:outlineLvl w:val="1"/>
        <w:rPr>
          <w:rFonts w:ascii="Times New Roman" w:hAnsi="Times New Roman" w:cs="Times New Roman"/>
        </w:rPr>
      </w:pPr>
      <w:r w:rsidRPr="000C2A83">
        <w:rPr>
          <w:rFonts w:ascii="Times New Roman" w:hAnsi="Times New Roman" w:cs="Times New Roman"/>
        </w:rPr>
        <w:t xml:space="preserve">Conducting observations is an essential component of ethnographic research. It provides the researcher the opportunity to observe and learn from his or her surroundings and gain insights that may not be possible from relying on others to transmit the information. While conducting an observation, the researcher will often find that patterns begin to emerge, questions arise and become more specific, and hypotheses begin to form and guide the researcher into formulating results based on the observations made (Griffiths, et.al, 2012). </w:t>
      </w:r>
    </w:p>
    <w:p w14:paraId="6CA53EE3" w14:textId="77777777" w:rsidR="00D91945" w:rsidRPr="000C2A83" w:rsidRDefault="00D91945" w:rsidP="00D91945">
      <w:pPr>
        <w:ind w:firstLine="720"/>
        <w:rPr>
          <w:rFonts w:ascii="Times New Roman" w:hAnsi="Times New Roman" w:cs="Times New Roman"/>
        </w:rPr>
      </w:pPr>
      <w:r w:rsidRPr="000C2A83">
        <w:rPr>
          <w:rFonts w:ascii="Times New Roman" w:hAnsi="Times New Roman" w:cs="Times New Roman"/>
        </w:rPr>
        <w:t xml:space="preserve">When conducting an observation, it is important to be aware that people often change their behavior when they know they are being watched as part of a study. This is often referred to as the </w:t>
      </w:r>
      <w:r w:rsidRPr="000C2A83">
        <w:rPr>
          <w:rFonts w:ascii="Times New Roman" w:hAnsi="Times New Roman" w:cs="Times New Roman"/>
          <w:i/>
        </w:rPr>
        <w:t>Hawthorne effect</w:t>
      </w:r>
      <w:r w:rsidRPr="000C2A83">
        <w:rPr>
          <w:rFonts w:ascii="Times New Roman" w:hAnsi="Times New Roman" w:cs="Times New Roman"/>
        </w:rPr>
        <w:t>. This term was coined after a series of experiments conducted by Elton Mayo and his colleagues from 1929-1932 at plant called Western Electric’s Hawthorne Works near Chicago (Spielman, et.al., 2019). The researchers in the study were initially researching the effects of the physical work environment such as the level of lighting in the plant, but their research</w:t>
      </w:r>
      <w:r>
        <w:rPr>
          <w:rFonts w:ascii="Times New Roman" w:hAnsi="Times New Roman" w:cs="Times New Roman"/>
        </w:rPr>
        <w:t xml:space="preserve"> ended up shedding light on </w:t>
      </w:r>
      <w:r w:rsidRPr="000C2A83">
        <w:rPr>
          <w:rFonts w:ascii="Times New Roman" w:hAnsi="Times New Roman" w:cs="Times New Roman"/>
        </w:rPr>
        <w:t xml:space="preserve">psychological effects in the workplace. They discovered that the employees work performance improved when they were being observed by the supervisors and researchers. The Hawthorne effect is unavoidable in some instances because subjects may know they are being observed. As we learned from the Hawthorne studies, the knowledge of being observed can lead to altered behaviors. </w:t>
      </w:r>
    </w:p>
    <w:p w14:paraId="1A6A81E7" w14:textId="77777777" w:rsidR="00D91945" w:rsidRPr="000C2A83" w:rsidRDefault="00D91945" w:rsidP="00D91945">
      <w:pPr>
        <w:ind w:firstLine="720"/>
        <w:rPr>
          <w:rFonts w:ascii="Times New Roman" w:hAnsi="Times New Roman" w:cs="Times New Roman"/>
          <w:b/>
        </w:rPr>
      </w:pPr>
    </w:p>
    <w:p w14:paraId="03064314" w14:textId="77777777" w:rsidR="00D91945" w:rsidRDefault="00D91945" w:rsidP="00D91945">
      <w:pPr>
        <w:ind w:firstLine="720"/>
        <w:jc w:val="center"/>
        <w:rPr>
          <w:rFonts w:ascii="Times New Roman" w:hAnsi="Times New Roman" w:cs="Times New Roman"/>
          <w:b/>
        </w:rPr>
      </w:pPr>
      <w:bookmarkStart w:id="6" w:name="_top"/>
      <w:bookmarkEnd w:id="6"/>
      <w:r>
        <w:rPr>
          <w:rFonts w:ascii="Times New Roman" w:hAnsi="Times New Roman" w:cs="Times New Roman"/>
          <w:b/>
          <w:noProof/>
        </w:rPr>
        <w:drawing>
          <wp:inline distT="0" distB="0" distL="0" distR="0" wp14:anchorId="56204442" wp14:editId="2EE77830">
            <wp:extent cx="5926455" cy="2182495"/>
            <wp:effectExtent l="0" t="0" r="0" b="8255"/>
            <wp:docPr id="8" name="Picture 8" descr="C:\Users\Tanaxya\Downloads\Kras Im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axya\Downloads\Kras Image #1.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26455" cy="2182495"/>
                    </a:xfrm>
                    <a:prstGeom prst="rect">
                      <a:avLst/>
                    </a:prstGeom>
                    <a:noFill/>
                    <a:ln>
                      <a:noFill/>
                    </a:ln>
                  </pic:spPr>
                </pic:pic>
              </a:graphicData>
            </a:graphic>
          </wp:inline>
        </w:drawing>
      </w:r>
    </w:p>
    <w:p w14:paraId="224806AC" w14:textId="77777777" w:rsidR="00D91945" w:rsidRPr="000C2A83" w:rsidRDefault="00D91945" w:rsidP="00D91945">
      <w:pPr>
        <w:ind w:firstLine="720"/>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91945" w:rsidRPr="000C2A83" w14:paraId="41109A8A" w14:textId="77777777" w:rsidTr="00605712">
        <w:trPr>
          <w:trHeight w:val="64"/>
        </w:trPr>
        <w:tc>
          <w:tcPr>
            <w:tcW w:w="9350" w:type="dxa"/>
          </w:tcPr>
          <w:p w14:paraId="4034B500" w14:textId="77777777" w:rsidR="00D91945" w:rsidRPr="000C2A83" w:rsidRDefault="00D91945" w:rsidP="00D91945">
            <w:pPr>
              <w:jc w:val="center"/>
              <w:outlineLvl w:val="1"/>
              <w:rPr>
                <w:rFonts w:ascii="Times New Roman" w:hAnsi="Times New Roman" w:cs="Times New Roman"/>
                <w:b/>
                <w:sz w:val="24"/>
                <w:szCs w:val="24"/>
              </w:rPr>
            </w:pPr>
          </w:p>
        </w:tc>
      </w:tr>
      <w:tr w:rsidR="00D91945" w:rsidRPr="000C2A83" w14:paraId="3A7BF8FD" w14:textId="77777777" w:rsidTr="00605712">
        <w:trPr>
          <w:trHeight w:val="386"/>
        </w:trPr>
        <w:tc>
          <w:tcPr>
            <w:tcW w:w="9350" w:type="dxa"/>
          </w:tcPr>
          <w:p w14:paraId="35057C4C" w14:textId="77777777" w:rsidR="00D91945" w:rsidRPr="000C2A83" w:rsidRDefault="00D91945" w:rsidP="00D91945">
            <w:pPr>
              <w:jc w:val="center"/>
              <w:outlineLvl w:val="1"/>
              <w:rPr>
                <w:rFonts w:ascii="Times New Roman" w:hAnsi="Times New Roman" w:cs="Times New Roman"/>
                <w:b/>
                <w:sz w:val="24"/>
                <w:szCs w:val="24"/>
              </w:rPr>
            </w:pPr>
            <w:r w:rsidRPr="000C2A83">
              <w:rPr>
                <w:rFonts w:ascii="Times New Roman" w:hAnsi="Times New Roman" w:cs="Times New Roman"/>
                <w:b/>
                <w:sz w:val="24"/>
                <w:szCs w:val="24"/>
              </w:rPr>
              <w:t>Hawthorne Studies</w:t>
            </w:r>
          </w:p>
          <w:p w14:paraId="2E7E331F" w14:textId="77777777" w:rsidR="00D91945" w:rsidRPr="000C2A83" w:rsidRDefault="00D91945" w:rsidP="00D91945">
            <w:pPr>
              <w:jc w:val="center"/>
              <w:outlineLvl w:val="1"/>
              <w:rPr>
                <w:rFonts w:ascii="Times New Roman" w:hAnsi="Times New Roman" w:cs="Times New Roman"/>
                <w:sz w:val="24"/>
                <w:szCs w:val="24"/>
              </w:rPr>
            </w:pPr>
            <w:r w:rsidRPr="000C2A83">
              <w:rPr>
                <w:rFonts w:ascii="Times New Roman" w:hAnsi="Times New Roman" w:cs="Times New Roman"/>
                <w:sz w:val="24"/>
                <w:szCs w:val="24"/>
              </w:rPr>
              <w:t xml:space="preserve">Learn more about the Hawthorne Studies here  </w:t>
            </w:r>
            <w:hyperlink w:anchor="_top" w:history="1">
              <w:r w:rsidRPr="000C2A83">
                <w:rPr>
                  <w:rStyle w:val="Hyperlink"/>
                  <w:rFonts w:ascii="Times New Roman" w:hAnsi="Times New Roman" w:cs="Times New Roman"/>
                  <w:sz w:val="24"/>
                  <w:szCs w:val="24"/>
                </w:rPr>
                <w:t>Hawthorne Electric Plant Studies</w:t>
              </w:r>
            </w:hyperlink>
          </w:p>
        </w:tc>
      </w:tr>
    </w:tbl>
    <w:p w14:paraId="410BDBC0" w14:textId="77777777" w:rsidR="00D91945" w:rsidRDefault="00D91945" w:rsidP="00D91945">
      <w:pPr>
        <w:ind w:firstLine="720"/>
        <w:outlineLvl w:val="1"/>
        <w:rPr>
          <w:rFonts w:ascii="Times New Roman" w:eastAsia="Times New Roman" w:hAnsi="Times New Roman" w:cs="Times New Roman"/>
          <w:bCs/>
        </w:rPr>
      </w:pPr>
    </w:p>
    <w:p w14:paraId="7EFA266B" w14:textId="77777777" w:rsidR="00D91945" w:rsidRDefault="00D91945" w:rsidP="00D91945">
      <w:pPr>
        <w:ind w:firstLine="720"/>
        <w:outlineLvl w:val="1"/>
        <w:rPr>
          <w:rFonts w:ascii="Times New Roman" w:hAnsi="Times New Roman" w:cs="Times New Roman"/>
        </w:rPr>
      </w:pPr>
      <w:r w:rsidRPr="000C2A83">
        <w:rPr>
          <w:rFonts w:ascii="Times New Roman" w:eastAsia="Times New Roman" w:hAnsi="Times New Roman" w:cs="Times New Roman"/>
          <w:bCs/>
        </w:rPr>
        <w:t xml:space="preserve">Results from observations are often qualitative and rely on the </w:t>
      </w:r>
      <w:r>
        <w:rPr>
          <w:rFonts w:ascii="Times New Roman" w:eastAsia="Times New Roman" w:hAnsi="Times New Roman" w:cs="Times New Roman"/>
          <w:bCs/>
        </w:rPr>
        <w:t xml:space="preserve">researcher’s perspective. </w:t>
      </w:r>
      <w:r w:rsidRPr="000C2A83">
        <w:rPr>
          <w:rFonts w:ascii="Times New Roman" w:eastAsia="Times New Roman" w:hAnsi="Times New Roman" w:cs="Times New Roman"/>
          <w:bCs/>
        </w:rPr>
        <w:t>While conducting observations</w:t>
      </w:r>
      <w:r>
        <w:rPr>
          <w:rFonts w:ascii="Times New Roman" w:eastAsia="Times New Roman" w:hAnsi="Times New Roman" w:cs="Times New Roman"/>
          <w:bCs/>
        </w:rPr>
        <w:t>,</w:t>
      </w:r>
      <w:r w:rsidRPr="000C2A83">
        <w:rPr>
          <w:rFonts w:ascii="Times New Roman" w:eastAsia="Times New Roman" w:hAnsi="Times New Roman" w:cs="Times New Roman"/>
          <w:bCs/>
        </w:rPr>
        <w:t xml:space="preserve"> it is important for the researcher to stay as objective as possible and refrain from </w:t>
      </w:r>
      <w:r w:rsidRPr="000C2A83">
        <w:rPr>
          <w:rFonts w:ascii="Times New Roman" w:eastAsia="Times New Roman" w:hAnsi="Times New Roman" w:cs="Times New Roman"/>
          <w:bCs/>
          <w:i/>
        </w:rPr>
        <w:t>observer bias</w:t>
      </w:r>
      <w:r w:rsidRPr="000C2A83">
        <w:rPr>
          <w:rFonts w:ascii="Times New Roman" w:eastAsia="Times New Roman" w:hAnsi="Times New Roman" w:cs="Times New Roman"/>
          <w:bCs/>
        </w:rPr>
        <w:t>. Observer bias is when researchers</w:t>
      </w:r>
      <w:r w:rsidRPr="000C2A83">
        <w:rPr>
          <w:rFonts w:ascii="Times New Roman" w:eastAsia="Times New Roman" w:hAnsi="Times New Roman" w:cs="Times New Roman"/>
          <w:b/>
          <w:bCs/>
        </w:rPr>
        <w:t xml:space="preserve"> “</w:t>
      </w:r>
      <w:r w:rsidRPr="000C2A83">
        <w:rPr>
          <w:rFonts w:ascii="Times New Roman" w:hAnsi="Times New Roman" w:cs="Times New Roman"/>
        </w:rPr>
        <w:t xml:space="preserve">unconsciously skew their observations to fit their research goals or expectations” (Spielman, et.al., 2019, p.45).  </w:t>
      </w:r>
    </w:p>
    <w:p w14:paraId="5DA0D69F" w14:textId="77777777" w:rsidR="00D91945" w:rsidRPr="000C2A83" w:rsidRDefault="00D91945" w:rsidP="00D91945">
      <w:pPr>
        <w:ind w:firstLine="720"/>
        <w:outlineLvl w:val="1"/>
        <w:rPr>
          <w:rFonts w:ascii="Times New Roman" w:hAnsi="Times New Roman" w:cs="Times New Roman"/>
        </w:rPr>
      </w:pPr>
    </w:p>
    <w:p w14:paraId="7E56866C" w14:textId="77777777" w:rsidR="00D91945" w:rsidRPr="000C2A83" w:rsidRDefault="00D91945" w:rsidP="00D91945">
      <w:pPr>
        <w:pStyle w:val="Heading2"/>
        <w:spacing w:before="0"/>
      </w:pPr>
      <w:r w:rsidRPr="000C2A83">
        <w:lastRenderedPageBreak/>
        <w:t>Types of Observations</w:t>
      </w:r>
    </w:p>
    <w:p w14:paraId="586FD651" w14:textId="77777777" w:rsidR="00D91945" w:rsidRDefault="00D91945" w:rsidP="00D91945">
      <w:pPr>
        <w:ind w:firstLine="720"/>
        <w:outlineLvl w:val="1"/>
        <w:rPr>
          <w:rFonts w:ascii="Times New Roman" w:hAnsi="Times New Roman" w:cs="Times New Roman"/>
        </w:rPr>
      </w:pPr>
      <w:r w:rsidRPr="000C2A83">
        <w:rPr>
          <w:rFonts w:ascii="Times New Roman" w:hAnsi="Times New Roman" w:cs="Times New Roman"/>
        </w:rPr>
        <w:t xml:space="preserve">There are different types of observations. Some types of </w:t>
      </w:r>
      <w:r>
        <w:rPr>
          <w:rFonts w:ascii="Times New Roman" w:hAnsi="Times New Roman" w:cs="Times New Roman"/>
        </w:rPr>
        <w:t xml:space="preserve">unobtrusive </w:t>
      </w:r>
      <w:r w:rsidRPr="000C2A83">
        <w:rPr>
          <w:rFonts w:ascii="Times New Roman" w:hAnsi="Times New Roman" w:cs="Times New Roman"/>
        </w:rPr>
        <w:t xml:space="preserve">observations such as informal observations, are common in everyday life, while other types of observations, such as participant-observation, are more systematic and part of the research process. Observations, like other forms of data collection, have strengths and limitations. </w:t>
      </w:r>
    </w:p>
    <w:p w14:paraId="557DCFA5" w14:textId="77777777" w:rsidR="00D91945" w:rsidRPr="000C2A83" w:rsidRDefault="00D91945" w:rsidP="00D91945">
      <w:pPr>
        <w:ind w:firstLine="720"/>
        <w:outlineLvl w:val="1"/>
        <w:rPr>
          <w:rFonts w:ascii="Times New Roman" w:hAnsi="Times New Roman" w:cs="Times New Roman"/>
        </w:rPr>
      </w:pPr>
    </w:p>
    <w:p w14:paraId="5693CE33" w14:textId="77777777" w:rsidR="00D91945" w:rsidRPr="000C2A83" w:rsidRDefault="00D91945" w:rsidP="00D91945">
      <w:pPr>
        <w:pStyle w:val="Heading3"/>
        <w:spacing w:before="0"/>
        <w:rPr>
          <w:rFonts w:ascii="Times New Roman" w:hAnsi="Times New Roman" w:cs="Times New Roman"/>
          <w:color w:val="auto"/>
        </w:rPr>
      </w:pPr>
      <w:r>
        <w:rPr>
          <w:rFonts w:ascii="Times New Roman" w:hAnsi="Times New Roman" w:cs="Times New Roman"/>
          <w:color w:val="auto"/>
        </w:rPr>
        <w:t>Unobtrusive O</w:t>
      </w:r>
      <w:r w:rsidRPr="000C2A83">
        <w:rPr>
          <w:rFonts w:ascii="Times New Roman" w:hAnsi="Times New Roman" w:cs="Times New Roman"/>
          <w:color w:val="auto"/>
        </w:rPr>
        <w:t>bservation</w:t>
      </w:r>
    </w:p>
    <w:p w14:paraId="7F5A4B85" w14:textId="77777777" w:rsidR="00D91945" w:rsidRPr="000C2A83" w:rsidRDefault="00D91945" w:rsidP="00D91945">
      <w:pPr>
        <w:ind w:firstLine="720"/>
        <w:outlineLvl w:val="1"/>
        <w:rPr>
          <w:rFonts w:ascii="Times New Roman" w:hAnsi="Times New Roman" w:cs="Times New Roman"/>
        </w:rPr>
      </w:pPr>
      <w:r w:rsidRPr="000C2A83">
        <w:rPr>
          <w:rFonts w:ascii="Times New Roman" w:hAnsi="Times New Roman" w:cs="Times New Roman"/>
        </w:rPr>
        <w:t xml:space="preserve">Informal observation occurs when observations are made without any systematic process for observing or assessing accuracy of what we observed (Blackstone, 2012). People frequently partake in this type of observation in their daily lives. </w:t>
      </w:r>
      <w:r>
        <w:rPr>
          <w:rFonts w:ascii="Times New Roman" w:hAnsi="Times New Roman" w:cs="Times New Roman"/>
        </w:rPr>
        <w:t xml:space="preserve">This </w:t>
      </w:r>
      <w:r w:rsidRPr="000C2A83">
        <w:rPr>
          <w:rFonts w:ascii="Times New Roman" w:hAnsi="Times New Roman" w:cs="Times New Roman"/>
        </w:rPr>
        <w:t>type of research</w:t>
      </w:r>
      <w:r>
        <w:rPr>
          <w:rFonts w:ascii="Times New Roman" w:hAnsi="Times New Roman" w:cs="Times New Roman"/>
        </w:rPr>
        <w:t xml:space="preserve"> is what is frequently referred to as </w:t>
      </w:r>
      <w:r w:rsidRPr="00900713">
        <w:rPr>
          <w:rFonts w:ascii="Times New Roman" w:hAnsi="Times New Roman" w:cs="Times New Roman"/>
          <w:i/>
          <w:iCs/>
        </w:rPr>
        <w:t>people watching</w:t>
      </w:r>
      <w:r>
        <w:rPr>
          <w:rFonts w:ascii="Times New Roman" w:hAnsi="Times New Roman" w:cs="Times New Roman"/>
        </w:rPr>
        <w:t xml:space="preserve">. Some examples are observing people who </w:t>
      </w:r>
      <w:r w:rsidRPr="000C2A83">
        <w:rPr>
          <w:rFonts w:ascii="Times New Roman" w:hAnsi="Times New Roman" w:cs="Times New Roman"/>
        </w:rPr>
        <w:t>are walking around the mall while waiting for a friend, sitting on a crowded subway and observing the people who are on the train, or observing people engaging in holiday activities in a park. Since informal observations are done without any systematic process, the findings are not always accurate.</w:t>
      </w:r>
      <w:r w:rsidRPr="000C2A83">
        <w:rPr>
          <w:rFonts w:ascii="Times New Roman" w:hAnsi="Times New Roman" w:cs="Times New Roman"/>
        </w:rPr>
        <w:tab/>
      </w:r>
      <w:r w:rsidRPr="000C2A83">
        <w:rPr>
          <w:rFonts w:ascii="Times New Roman" w:hAnsi="Times New Roman" w:cs="Times New Roman"/>
        </w:rPr>
        <w:tab/>
      </w:r>
      <w:r w:rsidRPr="000C2A83">
        <w:rPr>
          <w:rFonts w:ascii="Times New Roman" w:hAnsi="Times New Roman" w:cs="Times New Roman"/>
        </w:rPr>
        <w:tab/>
      </w:r>
      <w:r w:rsidRPr="000C2A83">
        <w:rPr>
          <w:rFonts w:ascii="Times New Roman" w:hAnsi="Times New Roman" w:cs="Times New Roman"/>
        </w:rPr>
        <w:tab/>
      </w:r>
      <w:r w:rsidRPr="000C2A83">
        <w:rPr>
          <w:rFonts w:ascii="Times New Roman" w:hAnsi="Times New Roman" w:cs="Times New Roman"/>
        </w:rPr>
        <w:tab/>
      </w:r>
      <w:bookmarkStart w:id="7" w:name="_Hlk9423352"/>
    </w:p>
    <w:bookmarkEnd w:id="7"/>
    <w:p w14:paraId="46103B15" w14:textId="77777777" w:rsidR="00D91945" w:rsidRPr="000C2A83" w:rsidRDefault="00D91945" w:rsidP="00D91945">
      <w:pPr>
        <w:pStyle w:val="Heading3"/>
        <w:spacing w:before="0"/>
        <w:jc w:val="center"/>
        <w:rPr>
          <w:rFonts w:ascii="Times New Roman" w:hAnsi="Times New Roman" w:cs="Times New Roman"/>
          <w:color w:val="auto"/>
        </w:rPr>
      </w:pPr>
      <w:r>
        <w:rPr>
          <w:rFonts w:ascii="Times New Roman" w:hAnsi="Times New Roman" w:cs="Times New Roman"/>
          <w:b/>
          <w:noProof/>
        </w:rPr>
        <w:drawing>
          <wp:inline distT="0" distB="0" distL="0" distR="0" wp14:anchorId="00FA859C" wp14:editId="25E45FAE">
            <wp:extent cx="3909616" cy="3847381"/>
            <wp:effectExtent l="0" t="0" r="0" b="1270"/>
            <wp:docPr id="9" name="Picture 9" descr="C:\Users\Tanaxya\Downloads\Kras Image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naxya\Downloads\Kras Image #2.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78295" cy="3914967"/>
                    </a:xfrm>
                    <a:prstGeom prst="rect">
                      <a:avLst/>
                    </a:prstGeom>
                    <a:noFill/>
                    <a:ln>
                      <a:noFill/>
                    </a:ln>
                  </pic:spPr>
                </pic:pic>
              </a:graphicData>
            </a:graphic>
          </wp:inline>
        </w:drawing>
      </w:r>
    </w:p>
    <w:p w14:paraId="77B76194" w14:textId="77777777" w:rsidR="00D91945" w:rsidRDefault="00D91945" w:rsidP="00D91945">
      <w:pPr>
        <w:ind w:firstLine="720"/>
        <w:outlineLvl w:val="1"/>
        <w:rPr>
          <w:rFonts w:ascii="Times New Roman" w:hAnsi="Times New Roman" w:cs="Times New Roman"/>
        </w:rPr>
      </w:pPr>
    </w:p>
    <w:p w14:paraId="51275982" w14:textId="77777777" w:rsidR="00D91945" w:rsidRPr="000C2A83" w:rsidRDefault="00D91945" w:rsidP="00D91945">
      <w:pPr>
        <w:ind w:firstLine="720"/>
        <w:outlineLvl w:val="1"/>
      </w:pPr>
      <w:r w:rsidRPr="000C2A83">
        <w:rPr>
          <w:rFonts w:ascii="Times New Roman" w:hAnsi="Times New Roman" w:cs="Times New Roman"/>
        </w:rPr>
        <w:t xml:space="preserve">The term selective observation is used to describe when an </w:t>
      </w:r>
      <w:proofErr w:type="gramStart"/>
      <w:r w:rsidRPr="000C2A83">
        <w:rPr>
          <w:rFonts w:ascii="Times New Roman" w:hAnsi="Times New Roman" w:cs="Times New Roman"/>
        </w:rPr>
        <w:t>individual sees</w:t>
      </w:r>
      <w:proofErr w:type="gramEnd"/>
      <w:r w:rsidRPr="000C2A83">
        <w:rPr>
          <w:rFonts w:ascii="Times New Roman" w:hAnsi="Times New Roman" w:cs="Times New Roman"/>
        </w:rPr>
        <w:t xml:space="preserve"> only those patterns that he or she wants to see or when people assume that only the patterns they have experienced directly exist (Blackstone, 2012). An example of selective observation would be a person who visits New York City for the first time and gets into a minor car accident that wasn’t her fault. This person now believes that all New York City drivers are “bad drivers.” Her claim is inaccurate and based solely on her own experiences. </w:t>
      </w:r>
    </w:p>
    <w:p w14:paraId="6DA1BC0C" w14:textId="77777777" w:rsidR="00D91945" w:rsidRPr="000C2A83" w:rsidRDefault="00D91945" w:rsidP="00D91945">
      <w:pPr>
        <w:ind w:firstLine="720"/>
        <w:rPr>
          <w:rFonts w:ascii="Times New Roman" w:hAnsi="Times New Roman" w:cs="Times New Roman"/>
          <w:b/>
        </w:rPr>
      </w:pPr>
      <w:r w:rsidRPr="000C2A83">
        <w:rPr>
          <w:rFonts w:ascii="Times New Roman" w:hAnsi="Times New Roman" w:cs="Times New Roman"/>
        </w:rPr>
        <w:t xml:space="preserve">Naturalistic observation is a research method that involves observing people or animals in their natural environments. When conducting a naturalistic observation, it is important for </w:t>
      </w:r>
      <w:r w:rsidRPr="000C2A83">
        <w:rPr>
          <w:rFonts w:ascii="Times New Roman" w:hAnsi="Times New Roman" w:cs="Times New Roman"/>
        </w:rPr>
        <w:lastRenderedPageBreak/>
        <w:t>researchers to be as discreet as possible. People will often behave differently if they know they are being observed and researchers want to collect the most accurate information possible</w:t>
      </w:r>
      <w:r w:rsidRPr="000C2A83">
        <w:rPr>
          <w:rFonts w:ascii="Times New Roman" w:hAnsi="Times New Roman" w:cs="Times New Roman"/>
          <w:b/>
        </w:rPr>
        <w:t xml:space="preserve">. </w:t>
      </w:r>
      <w:r w:rsidRPr="000C2A83">
        <w:rPr>
          <w:rFonts w:ascii="Times New Roman" w:hAnsi="Times New Roman" w:cs="Times New Roman"/>
        </w:rPr>
        <w:t>An example of naturalistic observation would be a researcher who attends professional hockey games to make observations and collect data on the behaviors of participants watching the game.</w:t>
      </w:r>
      <w:r w:rsidRPr="000C2A83">
        <w:rPr>
          <w:rFonts w:ascii="Times New Roman" w:hAnsi="Times New Roman" w:cs="Times New Roman"/>
          <w:b/>
        </w:rPr>
        <w:t xml:space="preserve"> </w:t>
      </w:r>
      <w:r w:rsidRPr="000C2A83">
        <w:rPr>
          <w:rFonts w:ascii="Times New Roman" w:hAnsi="Times New Roman" w:cs="Times New Roman"/>
        </w:rPr>
        <w:t>This would provide the researcher the ability to make first-hand observations and not have to rely on others to convey the information.</w:t>
      </w:r>
    </w:p>
    <w:p w14:paraId="70B800CF" w14:textId="77777777" w:rsidR="00D91945" w:rsidRPr="000C2A83" w:rsidRDefault="00D91945" w:rsidP="00D91945">
      <w:pPr>
        <w:ind w:firstLine="720"/>
        <w:rPr>
          <w:rFonts w:ascii="Times New Roman" w:hAnsi="Times New Roman" w:cs="Times New Roman"/>
        </w:rPr>
      </w:pPr>
      <w:r w:rsidRPr="000C2A83">
        <w:rPr>
          <w:rStyle w:val="Heading4Char"/>
          <w:rFonts w:ascii="Times New Roman" w:hAnsi="Times New Roman" w:cs="Times New Roman"/>
        </w:rPr>
        <w:t>Strengths</w:t>
      </w:r>
      <w:r w:rsidRPr="000C2A83">
        <w:rPr>
          <w:rFonts w:ascii="Times New Roman" w:hAnsi="Times New Roman" w:cs="Times New Roman"/>
          <w:b/>
          <w:i/>
        </w:rPr>
        <w:t>.</w:t>
      </w:r>
      <w:r w:rsidRPr="000C2A83">
        <w:rPr>
          <w:rFonts w:ascii="Times New Roman" w:hAnsi="Times New Roman" w:cs="Times New Roman"/>
        </w:rPr>
        <w:t xml:space="preserve"> A strength of naturalistic observations is</w:t>
      </w:r>
      <w:r w:rsidRPr="000C2A83">
        <w:rPr>
          <w:rFonts w:ascii="Times New Roman" w:hAnsi="Times New Roman" w:cs="Times New Roman"/>
          <w:b/>
        </w:rPr>
        <w:t xml:space="preserve"> </w:t>
      </w:r>
      <w:r w:rsidRPr="000C2A83">
        <w:rPr>
          <w:rFonts w:ascii="Times New Roman" w:hAnsi="Times New Roman" w:cs="Times New Roman"/>
        </w:rPr>
        <w:t xml:space="preserve">the </w:t>
      </w:r>
      <w:r w:rsidRPr="000C2A83">
        <w:rPr>
          <w:rStyle w:val="no-emphasis"/>
          <w:rFonts w:ascii="Times New Roman" w:hAnsi="Times New Roman" w:cs="Times New Roman"/>
          <w:i/>
        </w:rPr>
        <w:t>validity</w:t>
      </w:r>
      <w:r w:rsidRPr="000C2A83">
        <w:rPr>
          <w:rFonts w:ascii="Times New Roman" w:hAnsi="Times New Roman" w:cs="Times New Roman"/>
        </w:rPr>
        <w:t xml:space="preserve"> of the information collected. Validity means that the data the researcher is collecting is a true representation of the information </w:t>
      </w:r>
      <w:r>
        <w:rPr>
          <w:rFonts w:ascii="Times New Roman" w:hAnsi="Times New Roman" w:cs="Times New Roman"/>
        </w:rPr>
        <w:t xml:space="preserve">he or she is </w:t>
      </w:r>
      <w:r w:rsidRPr="000C2A83">
        <w:rPr>
          <w:rFonts w:ascii="Times New Roman" w:hAnsi="Times New Roman" w:cs="Times New Roman"/>
        </w:rPr>
        <w:t xml:space="preserve">measuring. Ideally participants in a naturalistic observation will not know they are being observed, so it is presumed that they are displaying authentic behaviors. Additionally, while conducting naturalistic observations the researcher can gain insights that may not be possible from relying on others to convey the information.  </w:t>
      </w:r>
    </w:p>
    <w:p w14:paraId="5E03E721" w14:textId="77777777" w:rsidR="00D91945" w:rsidRPr="000C2A83" w:rsidRDefault="00D91945" w:rsidP="00D91945">
      <w:pPr>
        <w:ind w:firstLine="720"/>
        <w:rPr>
          <w:rFonts w:ascii="Times New Roman" w:hAnsi="Times New Roman" w:cs="Times New Roman"/>
        </w:rPr>
      </w:pPr>
      <w:r w:rsidRPr="000C2A83">
        <w:rPr>
          <w:rStyle w:val="Heading4Char"/>
          <w:rFonts w:ascii="Times New Roman" w:hAnsi="Times New Roman" w:cs="Times New Roman"/>
        </w:rPr>
        <w:t>Limitations.</w:t>
      </w:r>
      <w:r w:rsidRPr="000C2A83">
        <w:rPr>
          <w:rFonts w:ascii="Times New Roman" w:hAnsi="Times New Roman" w:cs="Times New Roman"/>
        </w:rPr>
        <w:t xml:space="preserve"> There are several limitations of naturalistic observation. One limitation of this type of observation is that the environment and the individuals being observed cannot be controlled (Spielman, et.al., 2019). For example, a researcher wants to observe the behaviors of children on a playground. There are several external factors that the researcher cannot control such as the temperature or the number of kids on the playground that day. There could also be unique circumstances that happen during the observation, such as a swarm of bees that fly through the playground or a rainstorm that starts unexpectedly. Uncontrollable events like these can impact the data being collected by the researcher. </w:t>
      </w:r>
    </w:p>
    <w:p w14:paraId="56C6C669" w14:textId="77777777" w:rsidR="00D91945" w:rsidRPr="00A712A5" w:rsidRDefault="00D91945" w:rsidP="00D91945">
      <w:pPr>
        <w:ind w:firstLine="720"/>
        <w:rPr>
          <w:rFonts w:ascii="Times New Roman" w:hAnsi="Times New Roman" w:cs="Times New Roman"/>
        </w:rPr>
      </w:pPr>
      <w:r w:rsidRPr="000C2A83">
        <w:rPr>
          <w:rFonts w:ascii="Times New Roman" w:hAnsi="Times New Roman" w:cs="Times New Roman"/>
        </w:rPr>
        <w:t xml:space="preserve">While naturalistic observation is an effective method to collect data to describe what is going on in a </w:t>
      </w:r>
      <w:proofErr w:type="gramStart"/>
      <w:r w:rsidRPr="000C2A83">
        <w:rPr>
          <w:rFonts w:ascii="Times New Roman" w:hAnsi="Times New Roman" w:cs="Times New Roman"/>
        </w:rPr>
        <w:t>particular environment</w:t>
      </w:r>
      <w:proofErr w:type="gramEnd"/>
      <w:r w:rsidRPr="000C2A83">
        <w:rPr>
          <w:rFonts w:ascii="Times New Roman" w:hAnsi="Times New Roman" w:cs="Times New Roman"/>
        </w:rPr>
        <w:t xml:space="preserve">, a limitation of this method is that it does not explain or get to the cause of </w:t>
      </w:r>
      <w:r w:rsidRPr="000C2A83">
        <w:rPr>
          <w:rFonts w:ascii="Times New Roman" w:hAnsi="Times New Roman" w:cs="Times New Roman"/>
          <w:i/>
        </w:rPr>
        <w:t>why</w:t>
      </w:r>
      <w:r w:rsidRPr="000C2A83">
        <w:rPr>
          <w:rFonts w:ascii="Times New Roman" w:hAnsi="Times New Roman" w:cs="Times New Roman"/>
        </w:rPr>
        <w:t xml:space="preserve"> this behavior is happening. Additionally, because observation studies do not involve random samples of the population, their results often cannot readily be generalized to the larger population. </w:t>
      </w:r>
      <w:r w:rsidRPr="00A712A5">
        <w:rPr>
          <w:rFonts w:ascii="Times New Roman" w:eastAsia="Times New Roman" w:hAnsi="Times New Roman" w:cs="Times New Roman"/>
        </w:rPr>
        <w:t xml:space="preserve">Participant Observation </w:t>
      </w:r>
      <w:r w:rsidRPr="00A712A5">
        <w:t xml:space="preserve"> </w:t>
      </w:r>
    </w:p>
    <w:p w14:paraId="22B699CA" w14:textId="77777777" w:rsidR="00D91945" w:rsidRPr="000C2A83" w:rsidRDefault="00D91945" w:rsidP="00D91945">
      <w:pPr>
        <w:ind w:firstLine="720"/>
        <w:outlineLvl w:val="1"/>
        <w:rPr>
          <w:rFonts w:ascii="Times New Roman" w:eastAsia="Times New Roman" w:hAnsi="Times New Roman" w:cs="Times New Roman"/>
          <w:b/>
          <w:bCs/>
        </w:rPr>
      </w:pPr>
      <w:r w:rsidRPr="000C2A83">
        <w:rPr>
          <w:rFonts w:ascii="Times New Roman" w:eastAsia="Times New Roman" w:hAnsi="Times New Roman" w:cs="Times New Roman"/>
          <w:bCs/>
        </w:rPr>
        <w:t xml:space="preserve">When conducting ethnographic researcher, researchers may partake in what is called </w:t>
      </w:r>
      <w:r w:rsidRPr="000C2A83">
        <w:rPr>
          <w:rFonts w:ascii="Times New Roman" w:eastAsia="Times New Roman" w:hAnsi="Times New Roman" w:cs="Times New Roman"/>
          <w:bCs/>
          <w:i/>
        </w:rPr>
        <w:t>participant observation</w:t>
      </w:r>
      <w:r w:rsidRPr="000C2A83">
        <w:rPr>
          <w:rFonts w:ascii="Times New Roman" w:eastAsia="Times New Roman" w:hAnsi="Times New Roman" w:cs="Times New Roman"/>
          <w:bCs/>
        </w:rPr>
        <w:t>. Participant observation is when “</w:t>
      </w:r>
      <w:r w:rsidRPr="000C2A83">
        <w:rPr>
          <w:rFonts w:ascii="Times New Roman" w:hAnsi="Times New Roman" w:cs="Times New Roman"/>
        </w:rPr>
        <w:t>researchers join people and participate in a group’s routine activities for the purpose of observing them within that context</w:t>
      </w:r>
      <w:r w:rsidRPr="000C2A83">
        <w:rPr>
          <w:rFonts w:ascii="Times New Roman" w:eastAsia="Times New Roman" w:hAnsi="Times New Roman" w:cs="Times New Roman"/>
          <w:bCs/>
        </w:rPr>
        <w:t xml:space="preserve">” </w:t>
      </w:r>
      <w:r w:rsidRPr="000C2A83">
        <w:rPr>
          <w:rFonts w:ascii="Times New Roman" w:hAnsi="Times New Roman" w:cs="Times New Roman"/>
        </w:rPr>
        <w:t xml:space="preserve">(Griffiths, et.al, 2012, p.3). </w:t>
      </w:r>
      <w:r w:rsidRPr="000C2A83">
        <w:rPr>
          <w:rFonts w:ascii="Times New Roman" w:eastAsia="Times New Roman" w:hAnsi="Times New Roman" w:cs="Times New Roman"/>
          <w:bCs/>
        </w:rPr>
        <w:t xml:space="preserve">An example of this may be a researcher working as a cashier to study and gain insight into the working environment of a large retail chain. </w:t>
      </w:r>
      <w:proofErr w:type="gramStart"/>
      <w:r w:rsidRPr="000C2A83">
        <w:rPr>
          <w:rFonts w:ascii="Times New Roman" w:eastAsia="Times New Roman" w:hAnsi="Times New Roman" w:cs="Times New Roman"/>
          <w:bCs/>
        </w:rPr>
        <w:t>Often times</w:t>
      </w:r>
      <w:proofErr w:type="gramEnd"/>
      <w:r w:rsidRPr="000C2A83">
        <w:rPr>
          <w:rFonts w:ascii="Times New Roman" w:eastAsia="Times New Roman" w:hAnsi="Times New Roman" w:cs="Times New Roman"/>
          <w:bCs/>
        </w:rPr>
        <w:t xml:space="preserve"> researchers engaging in this type of observation do not disclose their true identities, so not to compromise their</w:t>
      </w:r>
      <w:r w:rsidRPr="000C2A83">
        <w:rPr>
          <w:rFonts w:ascii="Times New Roman" w:eastAsia="Times New Roman" w:hAnsi="Times New Roman" w:cs="Times New Roman"/>
          <w:b/>
          <w:bCs/>
        </w:rPr>
        <w:t xml:space="preserve"> </w:t>
      </w:r>
      <w:r w:rsidRPr="000C2A83">
        <w:rPr>
          <w:rFonts w:ascii="Times New Roman" w:eastAsia="Times New Roman" w:hAnsi="Times New Roman" w:cs="Times New Roman"/>
          <w:bCs/>
        </w:rPr>
        <w:t>research. This can</w:t>
      </w:r>
      <w:r w:rsidRPr="000C2A83">
        <w:rPr>
          <w:rFonts w:ascii="Times New Roman" w:eastAsia="Times New Roman" w:hAnsi="Times New Roman" w:cs="Times New Roman"/>
          <w:b/>
          <w:bCs/>
        </w:rPr>
        <w:t xml:space="preserve"> </w:t>
      </w:r>
      <w:r w:rsidRPr="000C2A83">
        <w:rPr>
          <w:rFonts w:ascii="Times New Roman" w:eastAsia="Times New Roman" w:hAnsi="Times New Roman" w:cs="Times New Roman"/>
          <w:bCs/>
        </w:rPr>
        <w:t>be challenging for a few reasons. One is reason is that it may take the researcher time to gain access to a certain organization or population. Another reason is that it may also take time for the researcher to adjust to the new environment. During this type of observation, is important for researchers to do their best not to disrupt the environment of the people or places they are studying</w:t>
      </w:r>
      <w:r w:rsidRPr="000C2A83">
        <w:rPr>
          <w:rFonts w:ascii="Times New Roman" w:eastAsia="Times New Roman" w:hAnsi="Times New Roman" w:cs="Times New Roman"/>
          <w:b/>
          <w:bCs/>
        </w:rPr>
        <w:t xml:space="preserve"> </w:t>
      </w:r>
      <w:r w:rsidRPr="000C2A83">
        <w:rPr>
          <w:rFonts w:ascii="Times New Roman" w:hAnsi="Times New Roman" w:cs="Times New Roman"/>
        </w:rPr>
        <w:t>(Griffiths, et.al, 2012).</w:t>
      </w:r>
    </w:p>
    <w:p w14:paraId="5236A696" w14:textId="77777777" w:rsidR="00D91945" w:rsidRPr="000C2A83" w:rsidRDefault="00D91945" w:rsidP="00D91945">
      <w:pPr>
        <w:ind w:firstLine="720"/>
        <w:outlineLvl w:val="1"/>
        <w:rPr>
          <w:rFonts w:ascii="Times New Roman" w:eastAsia="Times New Roman" w:hAnsi="Times New Roman" w:cs="Times New Roman"/>
          <w:b/>
          <w:bCs/>
        </w:rPr>
      </w:pPr>
      <w:r w:rsidRPr="000C2A83">
        <w:rPr>
          <w:rStyle w:val="Heading3Char"/>
          <w:rFonts w:ascii="Times New Roman" w:hAnsi="Times New Roman" w:cs="Times New Roman"/>
        </w:rPr>
        <w:t>Strengths.</w:t>
      </w:r>
      <w:r w:rsidRPr="000C2A83">
        <w:rPr>
          <w:rFonts w:ascii="Times New Roman" w:eastAsia="Times New Roman" w:hAnsi="Times New Roman" w:cs="Times New Roman"/>
          <w:b/>
          <w:bCs/>
        </w:rPr>
        <w:t xml:space="preserve"> </w:t>
      </w:r>
      <w:r w:rsidRPr="000C2A83">
        <w:rPr>
          <w:rFonts w:ascii="Times New Roman" w:eastAsia="Times New Roman" w:hAnsi="Times New Roman" w:cs="Times New Roman"/>
          <w:bCs/>
        </w:rPr>
        <w:t>A strength of this type of research is that being a participant-observer provides the opportunity to be fully immersed in the environment and gain a first-hand perspective about what life is like for the people they are studying. The researcher can gain information that may not have been able to be collected through other methods and only though this first-hand perspective.</w:t>
      </w:r>
      <w:r w:rsidRPr="000C2A83">
        <w:rPr>
          <w:rFonts w:ascii="Times New Roman" w:eastAsia="Times New Roman" w:hAnsi="Times New Roman" w:cs="Times New Roman"/>
          <w:b/>
          <w:bCs/>
        </w:rPr>
        <w:t xml:space="preserve"> </w:t>
      </w:r>
    </w:p>
    <w:p w14:paraId="15A197EB" w14:textId="77777777" w:rsidR="00D91945" w:rsidRPr="000C2A83" w:rsidRDefault="00D91945" w:rsidP="00D91945">
      <w:pPr>
        <w:ind w:firstLine="720"/>
        <w:outlineLvl w:val="1"/>
        <w:rPr>
          <w:rFonts w:ascii="Times New Roman" w:hAnsi="Times New Roman" w:cs="Times New Roman"/>
        </w:rPr>
      </w:pPr>
      <w:r w:rsidRPr="000C2A83">
        <w:rPr>
          <w:rStyle w:val="Heading3Char"/>
          <w:rFonts w:ascii="Times New Roman" w:hAnsi="Times New Roman" w:cs="Times New Roman"/>
        </w:rPr>
        <w:t>Limitations</w:t>
      </w:r>
      <w:r w:rsidRPr="000C2A83">
        <w:rPr>
          <w:rFonts w:ascii="Times New Roman" w:eastAsia="Times New Roman" w:hAnsi="Times New Roman" w:cs="Times New Roman"/>
          <w:b/>
          <w:bCs/>
          <w:i/>
        </w:rPr>
        <w:t>.</w:t>
      </w:r>
      <w:r w:rsidRPr="000C2A83">
        <w:rPr>
          <w:rFonts w:ascii="Times New Roman" w:eastAsia="Times New Roman" w:hAnsi="Times New Roman" w:cs="Times New Roman"/>
          <w:bCs/>
        </w:rPr>
        <w:t xml:space="preserve"> A limitation to this approach is that a participant who is actively involved with the environment he or she is studying, may miss something by not sitting back and observing the environment </w:t>
      </w:r>
      <w:r w:rsidRPr="000C2A83">
        <w:rPr>
          <w:rFonts w:ascii="Times New Roman" w:hAnsi="Times New Roman" w:cs="Times New Roman"/>
        </w:rPr>
        <w:t>(Griffiths, et.al, 2012)</w:t>
      </w:r>
      <w:r w:rsidRPr="000C2A83">
        <w:rPr>
          <w:rFonts w:ascii="Times New Roman" w:eastAsia="Times New Roman" w:hAnsi="Times New Roman" w:cs="Times New Roman"/>
          <w:bCs/>
        </w:rPr>
        <w:t xml:space="preserve">. Another limitation is that there is the potential that the researcher and the people they are studying find themselves in situations that they feel </w:t>
      </w:r>
      <w:r w:rsidRPr="000C2A83">
        <w:rPr>
          <w:rFonts w:ascii="Times New Roman" w:eastAsia="Times New Roman" w:hAnsi="Times New Roman" w:cs="Times New Roman"/>
          <w:bCs/>
        </w:rPr>
        <w:lastRenderedPageBreak/>
        <w:t xml:space="preserve">uncomfortable in for various reasons. </w:t>
      </w:r>
      <w:r w:rsidRPr="000C2A83">
        <w:rPr>
          <w:rFonts w:ascii="Times New Roman" w:hAnsi="Times New Roman" w:cs="Times New Roman"/>
        </w:rPr>
        <w:t xml:space="preserve">You will learn more about participant-observations in </w:t>
      </w:r>
      <w:r>
        <w:rPr>
          <w:rFonts w:ascii="Times New Roman" w:hAnsi="Times New Roman" w:cs="Times New Roman"/>
        </w:rPr>
        <w:t xml:space="preserve">the next </w:t>
      </w:r>
      <w:r w:rsidRPr="000C2A83">
        <w:rPr>
          <w:rFonts w:ascii="Times New Roman" w:hAnsi="Times New Roman" w:cs="Times New Roman"/>
        </w:rPr>
        <w:t xml:space="preserve">chapter. </w:t>
      </w:r>
    </w:p>
    <w:tbl>
      <w:tblPr>
        <w:tblStyle w:val="TableGrid"/>
        <w:tblW w:w="0" w:type="auto"/>
        <w:tblLook w:val="04A0" w:firstRow="1" w:lastRow="0" w:firstColumn="1" w:lastColumn="0" w:noHBand="0" w:noVBand="1"/>
      </w:tblPr>
      <w:tblGrid>
        <w:gridCol w:w="3865"/>
        <w:gridCol w:w="5485"/>
      </w:tblGrid>
      <w:tr w:rsidR="00D91945" w:rsidRPr="00283BAA" w14:paraId="06C7433B" w14:textId="77777777" w:rsidTr="00D91945">
        <w:tc>
          <w:tcPr>
            <w:tcW w:w="3865" w:type="dxa"/>
          </w:tcPr>
          <w:p w14:paraId="734DDA86" w14:textId="77777777" w:rsidR="00D91945" w:rsidRPr="00283BAA" w:rsidRDefault="00D91945" w:rsidP="00D91945">
            <w:pPr>
              <w:spacing w:line="480" w:lineRule="auto"/>
              <w:rPr>
                <w:rFonts w:ascii="Times New Roman" w:hAnsi="Times New Roman" w:cs="Times New Roman"/>
                <w:sz w:val="24"/>
                <w:szCs w:val="24"/>
              </w:rPr>
            </w:pPr>
          </w:p>
        </w:tc>
        <w:tc>
          <w:tcPr>
            <w:tcW w:w="5485" w:type="dxa"/>
            <w:shd w:val="clear" w:color="auto" w:fill="auto"/>
          </w:tcPr>
          <w:p w14:paraId="0CC543D0" w14:textId="77777777" w:rsidR="00D91945" w:rsidRPr="00283BAA" w:rsidRDefault="00D91945" w:rsidP="00D91945">
            <w:pPr>
              <w:spacing w:line="480" w:lineRule="auto"/>
              <w:rPr>
                <w:rFonts w:ascii="Times New Roman" w:hAnsi="Times New Roman" w:cs="Times New Roman"/>
                <w:sz w:val="24"/>
                <w:szCs w:val="24"/>
              </w:rPr>
            </w:pPr>
          </w:p>
        </w:tc>
      </w:tr>
      <w:tr w:rsidR="00D91945" w:rsidRPr="00283BAA" w14:paraId="60FE3D7B" w14:textId="77777777" w:rsidTr="00D91945">
        <w:tc>
          <w:tcPr>
            <w:tcW w:w="3865" w:type="dxa"/>
          </w:tcPr>
          <w:p w14:paraId="256AD88C" w14:textId="77777777" w:rsidR="00D91945" w:rsidRPr="00283BAA" w:rsidRDefault="00D91945" w:rsidP="00D91945">
            <w:pPr>
              <w:spacing w:line="480" w:lineRule="auto"/>
              <w:rPr>
                <w:rFonts w:ascii="Times New Roman" w:hAnsi="Times New Roman" w:cs="Times New Roman"/>
                <w:sz w:val="24"/>
                <w:szCs w:val="24"/>
              </w:rPr>
            </w:pPr>
            <w:r w:rsidRPr="00283BAA">
              <w:rPr>
                <w:rFonts w:ascii="Times New Roman" w:hAnsi="Times New Roman" w:cs="Times New Roman"/>
                <w:sz w:val="24"/>
                <w:szCs w:val="24"/>
              </w:rPr>
              <w:t xml:space="preserve">Informal Observation </w:t>
            </w:r>
          </w:p>
        </w:tc>
        <w:tc>
          <w:tcPr>
            <w:tcW w:w="5485" w:type="dxa"/>
            <w:shd w:val="clear" w:color="auto" w:fill="BDD6EE" w:themeFill="accent5" w:themeFillTint="66"/>
          </w:tcPr>
          <w:p w14:paraId="0F02297C" w14:textId="77777777" w:rsidR="00D91945" w:rsidRPr="00283BAA" w:rsidRDefault="00D91945" w:rsidP="00D91945">
            <w:pPr>
              <w:spacing w:line="480" w:lineRule="auto"/>
              <w:rPr>
                <w:rFonts w:ascii="Times New Roman" w:hAnsi="Times New Roman" w:cs="Times New Roman"/>
                <w:sz w:val="24"/>
                <w:szCs w:val="24"/>
              </w:rPr>
            </w:pPr>
            <w:r w:rsidRPr="00283BAA">
              <w:rPr>
                <w:rFonts w:ascii="Times New Roman" w:hAnsi="Times New Roman" w:cs="Times New Roman"/>
                <w:sz w:val="24"/>
                <w:szCs w:val="24"/>
              </w:rPr>
              <w:t>Observations are made without any systematic process for observing or assessing accuracy of what we observed</w:t>
            </w:r>
          </w:p>
        </w:tc>
      </w:tr>
      <w:tr w:rsidR="00D91945" w:rsidRPr="00283BAA" w14:paraId="5AA58A68" w14:textId="77777777" w:rsidTr="00D91945">
        <w:tc>
          <w:tcPr>
            <w:tcW w:w="3865" w:type="dxa"/>
          </w:tcPr>
          <w:p w14:paraId="148983CF" w14:textId="77777777" w:rsidR="00D91945" w:rsidRPr="00283BAA" w:rsidRDefault="00D91945" w:rsidP="00D91945">
            <w:pPr>
              <w:spacing w:line="480" w:lineRule="auto"/>
              <w:rPr>
                <w:rFonts w:ascii="Times New Roman" w:hAnsi="Times New Roman" w:cs="Times New Roman"/>
                <w:sz w:val="24"/>
                <w:szCs w:val="24"/>
              </w:rPr>
            </w:pPr>
            <w:r w:rsidRPr="00283BAA">
              <w:rPr>
                <w:rFonts w:ascii="Times New Roman" w:hAnsi="Times New Roman" w:cs="Times New Roman"/>
                <w:sz w:val="24"/>
                <w:szCs w:val="24"/>
              </w:rPr>
              <w:t xml:space="preserve">Selective Observation </w:t>
            </w:r>
          </w:p>
        </w:tc>
        <w:tc>
          <w:tcPr>
            <w:tcW w:w="5485" w:type="dxa"/>
            <w:shd w:val="clear" w:color="auto" w:fill="BDD6EE" w:themeFill="accent5" w:themeFillTint="66"/>
          </w:tcPr>
          <w:p w14:paraId="7A9253CB" w14:textId="77777777" w:rsidR="00D91945" w:rsidRPr="00283BAA" w:rsidRDefault="00D91945" w:rsidP="00D91945">
            <w:pPr>
              <w:spacing w:line="480" w:lineRule="auto"/>
              <w:rPr>
                <w:rFonts w:ascii="Times New Roman" w:hAnsi="Times New Roman" w:cs="Times New Roman"/>
                <w:sz w:val="24"/>
                <w:szCs w:val="24"/>
              </w:rPr>
            </w:pPr>
            <w:r w:rsidRPr="00283BAA">
              <w:rPr>
                <w:rFonts w:ascii="Times New Roman" w:hAnsi="Times New Roman" w:cs="Times New Roman"/>
                <w:sz w:val="24"/>
                <w:szCs w:val="24"/>
              </w:rPr>
              <w:t xml:space="preserve">When an </w:t>
            </w:r>
            <w:proofErr w:type="gramStart"/>
            <w:r w:rsidRPr="00283BAA">
              <w:rPr>
                <w:rFonts w:ascii="Times New Roman" w:hAnsi="Times New Roman" w:cs="Times New Roman"/>
                <w:sz w:val="24"/>
                <w:szCs w:val="24"/>
              </w:rPr>
              <w:t>individual sees</w:t>
            </w:r>
            <w:proofErr w:type="gramEnd"/>
            <w:r w:rsidRPr="00283BAA">
              <w:rPr>
                <w:rFonts w:ascii="Times New Roman" w:hAnsi="Times New Roman" w:cs="Times New Roman"/>
                <w:sz w:val="24"/>
                <w:szCs w:val="24"/>
              </w:rPr>
              <w:t xml:space="preserve"> only those patterns that want to see or when we assume that only the patterns we have experienced directly exist</w:t>
            </w:r>
          </w:p>
        </w:tc>
      </w:tr>
      <w:tr w:rsidR="00D91945" w:rsidRPr="00283BAA" w14:paraId="6ECAA51E" w14:textId="77777777" w:rsidTr="00D91945">
        <w:tc>
          <w:tcPr>
            <w:tcW w:w="3865" w:type="dxa"/>
          </w:tcPr>
          <w:p w14:paraId="1BBB94C5" w14:textId="77777777" w:rsidR="00D91945" w:rsidRPr="00283BAA" w:rsidRDefault="00D91945" w:rsidP="00D91945">
            <w:pPr>
              <w:spacing w:line="480" w:lineRule="auto"/>
              <w:rPr>
                <w:rFonts w:ascii="Times New Roman" w:hAnsi="Times New Roman" w:cs="Times New Roman"/>
                <w:sz w:val="24"/>
                <w:szCs w:val="24"/>
              </w:rPr>
            </w:pPr>
            <w:r w:rsidRPr="00283BAA">
              <w:rPr>
                <w:rFonts w:ascii="Times New Roman" w:hAnsi="Times New Roman" w:cs="Times New Roman"/>
                <w:sz w:val="24"/>
                <w:szCs w:val="24"/>
              </w:rPr>
              <w:t xml:space="preserve">Naturalistic Observation </w:t>
            </w:r>
          </w:p>
        </w:tc>
        <w:tc>
          <w:tcPr>
            <w:tcW w:w="5485" w:type="dxa"/>
            <w:shd w:val="clear" w:color="auto" w:fill="BDD6EE" w:themeFill="accent5" w:themeFillTint="66"/>
          </w:tcPr>
          <w:p w14:paraId="06470D01" w14:textId="77777777" w:rsidR="00D91945" w:rsidRPr="00283BAA" w:rsidRDefault="00D91945" w:rsidP="00D91945">
            <w:pPr>
              <w:spacing w:line="480" w:lineRule="auto"/>
              <w:rPr>
                <w:rFonts w:ascii="Times New Roman" w:hAnsi="Times New Roman" w:cs="Times New Roman"/>
                <w:sz w:val="24"/>
                <w:szCs w:val="24"/>
              </w:rPr>
            </w:pPr>
            <w:r w:rsidRPr="00283BAA">
              <w:rPr>
                <w:rFonts w:ascii="Times New Roman" w:hAnsi="Times New Roman" w:cs="Times New Roman"/>
                <w:sz w:val="24"/>
                <w:szCs w:val="24"/>
              </w:rPr>
              <w:t>A research method that involves observing people or animals in their natural environments</w:t>
            </w:r>
          </w:p>
        </w:tc>
      </w:tr>
      <w:tr w:rsidR="00D91945" w:rsidRPr="00283BAA" w14:paraId="3107AAEA" w14:textId="77777777" w:rsidTr="00D91945">
        <w:tc>
          <w:tcPr>
            <w:tcW w:w="3865" w:type="dxa"/>
          </w:tcPr>
          <w:p w14:paraId="6F2D7438" w14:textId="77777777" w:rsidR="00D91945" w:rsidRPr="00283BAA" w:rsidRDefault="00D91945" w:rsidP="00D91945">
            <w:pPr>
              <w:spacing w:line="480" w:lineRule="auto"/>
              <w:rPr>
                <w:rFonts w:ascii="Times New Roman" w:hAnsi="Times New Roman" w:cs="Times New Roman"/>
                <w:sz w:val="24"/>
                <w:szCs w:val="24"/>
              </w:rPr>
            </w:pPr>
            <w:r w:rsidRPr="00283BAA">
              <w:rPr>
                <w:rFonts w:ascii="Times New Roman" w:hAnsi="Times New Roman" w:cs="Times New Roman"/>
                <w:sz w:val="24"/>
                <w:szCs w:val="24"/>
              </w:rPr>
              <w:t xml:space="preserve">Participant-Observation </w:t>
            </w:r>
          </w:p>
          <w:p w14:paraId="3DD08028" w14:textId="77777777" w:rsidR="00D91945" w:rsidRPr="00283BAA" w:rsidRDefault="00D91945" w:rsidP="00D91945">
            <w:pPr>
              <w:spacing w:line="480" w:lineRule="auto"/>
              <w:rPr>
                <w:rFonts w:ascii="Times New Roman" w:hAnsi="Times New Roman" w:cs="Times New Roman"/>
                <w:sz w:val="24"/>
                <w:szCs w:val="24"/>
              </w:rPr>
            </w:pPr>
          </w:p>
        </w:tc>
        <w:tc>
          <w:tcPr>
            <w:tcW w:w="5485" w:type="dxa"/>
            <w:shd w:val="clear" w:color="auto" w:fill="BDD6EE" w:themeFill="accent5" w:themeFillTint="66"/>
          </w:tcPr>
          <w:p w14:paraId="02D14318" w14:textId="77777777" w:rsidR="00D91945" w:rsidRPr="00283BAA" w:rsidRDefault="00D91945" w:rsidP="00D91945">
            <w:pPr>
              <w:spacing w:line="480" w:lineRule="auto"/>
              <w:rPr>
                <w:rFonts w:ascii="Times New Roman" w:hAnsi="Times New Roman" w:cs="Times New Roman"/>
                <w:sz w:val="24"/>
                <w:szCs w:val="24"/>
              </w:rPr>
            </w:pPr>
            <w:r w:rsidRPr="00283BAA">
              <w:rPr>
                <w:rFonts w:ascii="Times New Roman" w:hAnsi="Times New Roman" w:cs="Times New Roman"/>
                <w:sz w:val="24"/>
                <w:szCs w:val="24"/>
              </w:rPr>
              <w:t>When researchers join people and participate in a group’s routine activities for the purpose of observing them within that context</w:t>
            </w:r>
            <w:r w:rsidRPr="00283BAA">
              <w:rPr>
                <w:rFonts w:ascii="Times New Roman" w:eastAsia="Times New Roman" w:hAnsi="Times New Roman" w:cs="Times New Roman"/>
                <w:b/>
                <w:bCs/>
                <w:sz w:val="24"/>
                <w:szCs w:val="24"/>
              </w:rPr>
              <w:t>”</w:t>
            </w:r>
          </w:p>
        </w:tc>
      </w:tr>
    </w:tbl>
    <w:p w14:paraId="0E349985" w14:textId="77777777" w:rsidR="00D91945" w:rsidRPr="000C2A83" w:rsidRDefault="00D91945" w:rsidP="00D91945">
      <w:pPr>
        <w:jc w:val="center"/>
        <w:rPr>
          <w:rFonts w:ascii="Times New Roman" w:hAnsi="Times New Roman" w:cs="Times New Roman"/>
          <w:b/>
        </w:rPr>
      </w:pPr>
    </w:p>
    <w:p w14:paraId="12F24AE0" w14:textId="77777777" w:rsidR="00D91945" w:rsidRPr="000C2A83" w:rsidRDefault="00D91945" w:rsidP="00D91945">
      <w:pPr>
        <w:jc w:val="center"/>
        <w:rPr>
          <w:rFonts w:ascii="Times New Roman" w:hAnsi="Times New Roman" w:cs="Times New Roman"/>
          <w:b/>
        </w:rPr>
      </w:pPr>
    </w:p>
    <w:p w14:paraId="742F38C1" w14:textId="77777777" w:rsidR="00D91945" w:rsidRPr="000C2A83" w:rsidRDefault="00D91945" w:rsidP="00D91945">
      <w:pPr>
        <w:pStyle w:val="Heading2"/>
        <w:spacing w:before="0"/>
        <w:jc w:val="center"/>
      </w:pPr>
      <w:r w:rsidRPr="000C2A83">
        <w:t>Observation in Action</w:t>
      </w:r>
    </w:p>
    <w:p w14:paraId="52A14BF5" w14:textId="77777777" w:rsidR="00D91945" w:rsidRPr="000C2A83" w:rsidRDefault="00D91945" w:rsidP="00D91945">
      <w:pPr>
        <w:pStyle w:val="Heading2"/>
        <w:spacing w:before="0"/>
      </w:pPr>
      <w:r w:rsidRPr="000C2A83">
        <w:t>Ethnographies of Work</w:t>
      </w:r>
    </w:p>
    <w:p w14:paraId="10EBDBFC" w14:textId="77777777" w:rsidR="00D91945" w:rsidRPr="000C2A83" w:rsidRDefault="00D91945" w:rsidP="00D91945">
      <w:pPr>
        <w:ind w:firstLine="720"/>
        <w:rPr>
          <w:rFonts w:ascii="Times New Roman" w:hAnsi="Times New Roman" w:cs="Times New Roman"/>
        </w:rPr>
      </w:pPr>
      <w:r w:rsidRPr="000C2A83">
        <w:rPr>
          <w:rFonts w:ascii="Times New Roman" w:hAnsi="Times New Roman" w:cs="Times New Roman"/>
        </w:rPr>
        <w:t xml:space="preserve">At Guttman Community College, students in a course called </w:t>
      </w:r>
      <w:r w:rsidRPr="000C2A83">
        <w:rPr>
          <w:rFonts w:ascii="Times New Roman" w:hAnsi="Times New Roman" w:cs="Times New Roman"/>
          <w:i/>
        </w:rPr>
        <w:t>Ethnographies of Work,</w:t>
      </w:r>
      <w:r w:rsidRPr="000C2A83">
        <w:rPr>
          <w:rFonts w:ascii="Times New Roman" w:hAnsi="Times New Roman" w:cs="Times New Roman"/>
        </w:rPr>
        <w:t xml:space="preserve"> have opportunities to become researchers and conduct their own naturalistic observations. For example, students are asked as part of their semester-long career exploration research project to visit a workplace of interest and observe the work environment of a career of interest to them. Through this observation students begin to learn about the culture of their workplace and use observation data they collected to help them answer their research questions about the world of work. </w:t>
      </w:r>
    </w:p>
    <w:p w14:paraId="43630E31" w14:textId="77777777" w:rsidR="00D91945" w:rsidRPr="000C2A83" w:rsidRDefault="00D91945" w:rsidP="00D91945">
      <w:pPr>
        <w:ind w:firstLine="720"/>
        <w:rPr>
          <w:rFonts w:ascii="Times New Roman" w:hAnsi="Times New Roman" w:cs="Times New Roman"/>
        </w:rPr>
      </w:pPr>
      <w:r w:rsidRPr="000C2A83">
        <w:rPr>
          <w:rFonts w:ascii="Times New Roman" w:hAnsi="Times New Roman" w:cs="Times New Roman"/>
        </w:rPr>
        <w:t xml:space="preserve">Another example is that Guttman students in the </w:t>
      </w:r>
      <w:r w:rsidRPr="000C2A83">
        <w:rPr>
          <w:rFonts w:ascii="Times New Roman" w:hAnsi="Times New Roman" w:cs="Times New Roman"/>
          <w:i/>
        </w:rPr>
        <w:t>Ethnographies of Work</w:t>
      </w:r>
      <w:r w:rsidRPr="000C2A83">
        <w:rPr>
          <w:rFonts w:ascii="Times New Roman" w:hAnsi="Times New Roman" w:cs="Times New Roman"/>
        </w:rPr>
        <w:t xml:space="preserve"> course </w:t>
      </w:r>
      <w:proofErr w:type="gramStart"/>
      <w:r w:rsidRPr="000C2A83">
        <w:rPr>
          <w:rFonts w:ascii="Times New Roman" w:hAnsi="Times New Roman" w:cs="Times New Roman"/>
        </w:rPr>
        <w:t>have the opportunity to</w:t>
      </w:r>
      <w:proofErr w:type="gramEnd"/>
      <w:r w:rsidRPr="000C2A83">
        <w:rPr>
          <w:rFonts w:ascii="Times New Roman" w:hAnsi="Times New Roman" w:cs="Times New Roman"/>
        </w:rPr>
        <w:t xml:space="preserve"> practice their research skills while conducting observations throughout New York City. Students visit places such as Grand Central Station, Times Square, and Bryant Park to conduct observations and then use their findings to connect to course readings and complete reflective writing assignments. </w:t>
      </w:r>
    </w:p>
    <w:p w14:paraId="4A2437C1" w14:textId="77777777" w:rsidR="00D91945" w:rsidRDefault="00D91945" w:rsidP="00D91945">
      <w:pPr>
        <w:pStyle w:val="Heading3"/>
        <w:spacing w:before="0"/>
        <w:jc w:val="center"/>
        <w:rPr>
          <w:rFonts w:ascii="Times New Roman" w:hAnsi="Times New Roman" w:cs="Times New Roman"/>
          <w:color w:val="auto"/>
        </w:rPr>
      </w:pPr>
      <w:r>
        <w:rPr>
          <w:rFonts w:ascii="Times New Roman" w:hAnsi="Times New Roman" w:cs="Times New Roman"/>
          <w:noProof/>
        </w:rPr>
        <w:lastRenderedPageBreak/>
        <w:drawing>
          <wp:inline distT="0" distB="0" distL="0" distR="0" wp14:anchorId="45375DEB" wp14:editId="781ADF31">
            <wp:extent cx="3364302" cy="3354597"/>
            <wp:effectExtent l="0" t="0" r="7620" b="0"/>
            <wp:docPr id="10" name="Picture 10" descr="C:\Users\Tanaxya\Downloads\Kras Image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naxya\Downloads\Kras Image #3.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72419" cy="3362690"/>
                    </a:xfrm>
                    <a:prstGeom prst="rect">
                      <a:avLst/>
                    </a:prstGeom>
                    <a:noFill/>
                    <a:ln>
                      <a:noFill/>
                    </a:ln>
                  </pic:spPr>
                </pic:pic>
              </a:graphicData>
            </a:graphic>
          </wp:inline>
        </w:drawing>
      </w:r>
    </w:p>
    <w:p w14:paraId="6A7BCBAA" w14:textId="77777777" w:rsidR="00D91945" w:rsidRDefault="00D91945" w:rsidP="00D91945">
      <w:pPr>
        <w:pStyle w:val="Heading3"/>
        <w:spacing w:before="0"/>
        <w:rPr>
          <w:rFonts w:ascii="Times New Roman" w:hAnsi="Times New Roman" w:cs="Times New Roman"/>
          <w:color w:val="auto"/>
        </w:rPr>
      </w:pPr>
    </w:p>
    <w:p w14:paraId="2A412FD2" w14:textId="77777777" w:rsidR="00D91945" w:rsidRPr="000C2A83" w:rsidRDefault="00D91945" w:rsidP="00D91945">
      <w:pPr>
        <w:pStyle w:val="Heading3"/>
        <w:spacing w:before="0"/>
        <w:rPr>
          <w:rFonts w:ascii="Times New Roman" w:hAnsi="Times New Roman" w:cs="Times New Roman"/>
          <w:color w:val="auto"/>
        </w:rPr>
      </w:pPr>
      <w:r w:rsidRPr="000C2A83">
        <w:rPr>
          <w:rFonts w:ascii="Times New Roman" w:hAnsi="Times New Roman" w:cs="Times New Roman"/>
          <w:color w:val="auto"/>
        </w:rPr>
        <w:t xml:space="preserve">What Should I Observe? </w:t>
      </w:r>
    </w:p>
    <w:p w14:paraId="21D456D2" w14:textId="77777777" w:rsidR="00D91945" w:rsidRDefault="00D91945" w:rsidP="00D91945">
      <w:pPr>
        <w:ind w:firstLine="720"/>
        <w:rPr>
          <w:rFonts w:ascii="Times New Roman" w:hAnsi="Times New Roman" w:cs="Times New Roman"/>
        </w:rPr>
      </w:pPr>
      <w:r w:rsidRPr="000C2A83">
        <w:rPr>
          <w:rFonts w:ascii="Times New Roman" w:hAnsi="Times New Roman" w:cs="Times New Roman"/>
        </w:rPr>
        <w:t xml:space="preserve">When you are conducting an observation, it can often be difficult to know exactly what you should be observing and what observations you should be recording. This often depends on the research question you are investigating or the assignment you are completing, but below is a template that students use in my </w:t>
      </w:r>
      <w:r w:rsidRPr="000C2A83">
        <w:rPr>
          <w:rFonts w:ascii="Times New Roman" w:hAnsi="Times New Roman" w:cs="Times New Roman"/>
          <w:i/>
        </w:rPr>
        <w:t>Ethnographies of Work</w:t>
      </w:r>
      <w:r w:rsidRPr="000C2A83">
        <w:rPr>
          <w:rFonts w:ascii="Times New Roman" w:hAnsi="Times New Roman" w:cs="Times New Roman"/>
        </w:rPr>
        <w:t xml:space="preserve"> course to help guide them in taking their fieldnotes when they are conducting their observations. </w:t>
      </w:r>
      <w:r>
        <w:rPr>
          <w:rFonts w:ascii="Times New Roman" w:hAnsi="Times New Roman" w:cs="Times New Roman"/>
        </w:rPr>
        <w:t xml:space="preserve">Please refer to the chapter on data collection for more information on this process. </w:t>
      </w:r>
    </w:p>
    <w:p w14:paraId="6A136D5C" w14:textId="77777777" w:rsidR="00D91945" w:rsidRDefault="00D91945" w:rsidP="00D91945">
      <w:pPr>
        <w:ind w:firstLine="720"/>
        <w:rPr>
          <w:rFonts w:ascii="Times New Roman" w:hAnsi="Times New Roman" w:cs="Times New Roman"/>
        </w:rPr>
      </w:pPr>
    </w:p>
    <w:p w14:paraId="06574FAC" w14:textId="77777777" w:rsidR="00D91945" w:rsidRDefault="00D91945" w:rsidP="00D91945">
      <w:pPr>
        <w:ind w:firstLine="720"/>
        <w:rPr>
          <w:rFonts w:ascii="Times New Roman" w:hAnsi="Times New Roman" w:cs="Times New Roman"/>
        </w:rPr>
      </w:pPr>
      <w:r>
        <w:rPr>
          <w:rFonts w:ascii="Times New Roman" w:hAnsi="Times New Roman" w:cs="Times New Roman"/>
          <w:noProof/>
        </w:rPr>
        <w:drawing>
          <wp:inline distT="0" distB="0" distL="0" distR="0" wp14:anchorId="39F142A7" wp14:editId="7796D136">
            <wp:extent cx="5943600" cy="30441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ras table.png"/>
                    <pic:cNvPicPr/>
                  </pic:nvPicPr>
                  <pic:blipFill>
                    <a:blip r:embed="rId71">
                      <a:extLst>
                        <a:ext uri="{28A0092B-C50C-407E-A947-70E740481C1C}">
                          <a14:useLocalDpi xmlns:a14="http://schemas.microsoft.com/office/drawing/2010/main" val="0"/>
                        </a:ext>
                      </a:extLst>
                    </a:blip>
                    <a:stretch>
                      <a:fillRect/>
                    </a:stretch>
                  </pic:blipFill>
                  <pic:spPr>
                    <a:xfrm>
                      <a:off x="0" y="0"/>
                      <a:ext cx="5943600" cy="3044190"/>
                    </a:xfrm>
                    <a:prstGeom prst="rect">
                      <a:avLst/>
                    </a:prstGeom>
                  </pic:spPr>
                </pic:pic>
              </a:graphicData>
            </a:graphic>
          </wp:inline>
        </w:drawing>
      </w:r>
    </w:p>
    <w:p w14:paraId="5E982684" w14:textId="77777777" w:rsidR="00D91945" w:rsidRPr="000C2A83" w:rsidRDefault="00D91945" w:rsidP="00D91945">
      <w:pPr>
        <w:ind w:firstLine="720"/>
        <w:rPr>
          <w:rFonts w:ascii="Times New Roman" w:hAnsi="Times New Roman" w:cs="Times New Roman"/>
        </w:rPr>
      </w:pPr>
    </w:p>
    <w:p w14:paraId="0E0A762A" w14:textId="77777777" w:rsidR="00D91945" w:rsidRPr="00B7525F" w:rsidRDefault="00D91945" w:rsidP="00D91945">
      <w:pPr>
        <w:pStyle w:val="Heading2"/>
      </w:pPr>
      <w:r w:rsidRPr="00B7525F">
        <w:lastRenderedPageBreak/>
        <w:t>Chapter Key Points</w:t>
      </w:r>
    </w:p>
    <w:p w14:paraId="4263E56D" w14:textId="77777777" w:rsidR="00D91945" w:rsidRPr="00B7525F" w:rsidRDefault="00D91945" w:rsidP="00C23CDB">
      <w:pPr>
        <w:pStyle w:val="ListParagraph"/>
        <w:numPr>
          <w:ilvl w:val="0"/>
          <w:numId w:val="31"/>
        </w:numPr>
        <w:spacing w:after="160" w:line="259" w:lineRule="auto"/>
        <w:rPr>
          <w:rFonts w:ascii="Times New Roman" w:hAnsi="Times New Roman" w:cs="Times New Roman"/>
        </w:rPr>
      </w:pPr>
      <w:r w:rsidRPr="00B7525F">
        <w:rPr>
          <w:rFonts w:ascii="Times New Roman" w:hAnsi="Times New Roman" w:cs="Times New Roman"/>
        </w:rPr>
        <w:t xml:space="preserve">Observations are essential to ethnographic research. </w:t>
      </w:r>
    </w:p>
    <w:p w14:paraId="0D655AF8" w14:textId="77777777" w:rsidR="00D91945" w:rsidRPr="00B7525F" w:rsidRDefault="00D91945" w:rsidP="00C23CDB">
      <w:pPr>
        <w:pStyle w:val="ListParagraph"/>
        <w:numPr>
          <w:ilvl w:val="0"/>
          <w:numId w:val="31"/>
        </w:numPr>
        <w:spacing w:after="160" w:line="259" w:lineRule="auto"/>
        <w:rPr>
          <w:rFonts w:ascii="Times New Roman" w:hAnsi="Times New Roman" w:cs="Times New Roman"/>
        </w:rPr>
      </w:pPr>
      <w:r w:rsidRPr="00B7525F">
        <w:rPr>
          <w:rFonts w:ascii="Times New Roman" w:hAnsi="Times New Roman" w:cs="Times New Roman"/>
        </w:rPr>
        <w:t xml:space="preserve">Observations allow the researcher to learn from his or her surroundings and gain insights that may not be possible from relying on others to transmit the information. </w:t>
      </w:r>
    </w:p>
    <w:p w14:paraId="045FA3CE" w14:textId="77777777" w:rsidR="00D91945" w:rsidRPr="00B7525F" w:rsidRDefault="00D91945" w:rsidP="00C23CDB">
      <w:pPr>
        <w:pStyle w:val="ListParagraph"/>
        <w:numPr>
          <w:ilvl w:val="0"/>
          <w:numId w:val="31"/>
        </w:numPr>
        <w:spacing w:after="160" w:line="259" w:lineRule="auto"/>
        <w:rPr>
          <w:rFonts w:ascii="Times New Roman" w:hAnsi="Times New Roman" w:cs="Times New Roman"/>
        </w:rPr>
      </w:pPr>
      <w:r w:rsidRPr="00B7525F">
        <w:rPr>
          <w:rFonts w:ascii="Times New Roman" w:hAnsi="Times New Roman" w:cs="Times New Roman"/>
        </w:rPr>
        <w:t xml:space="preserve">There are different types of observations that ethnographic researchers can conduct such as naturalistic observations or participant-observations. </w:t>
      </w:r>
    </w:p>
    <w:p w14:paraId="641BC2CB" w14:textId="77777777" w:rsidR="00D91945" w:rsidRPr="00B7525F" w:rsidRDefault="00D91945" w:rsidP="00C23CDB">
      <w:pPr>
        <w:pStyle w:val="ListParagraph"/>
        <w:numPr>
          <w:ilvl w:val="0"/>
          <w:numId w:val="31"/>
        </w:numPr>
        <w:spacing w:after="160" w:line="259" w:lineRule="auto"/>
        <w:rPr>
          <w:rFonts w:ascii="Times New Roman" w:hAnsi="Times New Roman" w:cs="Times New Roman"/>
        </w:rPr>
      </w:pPr>
      <w:r w:rsidRPr="00B7525F">
        <w:rPr>
          <w:rFonts w:ascii="Times New Roman" w:hAnsi="Times New Roman" w:cs="Times New Roman"/>
        </w:rPr>
        <w:t xml:space="preserve">As with all research methods, there are strengths and limitations that the researcher needs to consider while using this method to collect data. </w:t>
      </w:r>
    </w:p>
    <w:p w14:paraId="180CBEFD" w14:textId="77777777" w:rsidR="00D91945" w:rsidRPr="00B7525F" w:rsidRDefault="00D91945" w:rsidP="00D91945">
      <w:pPr>
        <w:rPr>
          <w:rFonts w:ascii="Times New Roman" w:hAnsi="Times New Roman" w:cs="Times New Roman"/>
          <w:b/>
        </w:rPr>
      </w:pPr>
    </w:p>
    <w:p w14:paraId="3C07B033" w14:textId="77777777" w:rsidR="00D91945" w:rsidRPr="00B7525F" w:rsidRDefault="00D91945" w:rsidP="00D91945">
      <w:pPr>
        <w:pStyle w:val="Heading2"/>
      </w:pPr>
      <w:r w:rsidRPr="00B7525F">
        <w:t>Questions</w:t>
      </w:r>
    </w:p>
    <w:p w14:paraId="0DFF6886" w14:textId="77777777" w:rsidR="00D91945" w:rsidRPr="00B7525F" w:rsidRDefault="00D91945" w:rsidP="00C23CDB">
      <w:pPr>
        <w:pStyle w:val="ListParagraph"/>
        <w:numPr>
          <w:ilvl w:val="0"/>
          <w:numId w:val="30"/>
        </w:numPr>
        <w:spacing w:after="160" w:line="259" w:lineRule="auto"/>
        <w:rPr>
          <w:rFonts w:ascii="Times New Roman" w:hAnsi="Times New Roman" w:cs="Times New Roman"/>
          <w:b/>
          <w:bCs/>
        </w:rPr>
      </w:pPr>
      <w:r w:rsidRPr="00B7525F">
        <w:rPr>
          <w:rFonts w:ascii="Times New Roman" w:hAnsi="Times New Roman" w:cs="Times New Roman"/>
        </w:rPr>
        <w:t xml:space="preserve">Why are observations essential to ethnographic research? </w:t>
      </w:r>
    </w:p>
    <w:p w14:paraId="1A59A7E9" w14:textId="77777777" w:rsidR="00D91945" w:rsidRPr="00B7525F" w:rsidRDefault="00D91945" w:rsidP="00C23CDB">
      <w:pPr>
        <w:pStyle w:val="ListParagraph"/>
        <w:numPr>
          <w:ilvl w:val="0"/>
          <w:numId w:val="30"/>
        </w:numPr>
        <w:spacing w:after="160" w:line="259" w:lineRule="auto"/>
        <w:rPr>
          <w:rFonts w:ascii="Times New Roman" w:hAnsi="Times New Roman" w:cs="Times New Roman"/>
          <w:b/>
          <w:bCs/>
        </w:rPr>
      </w:pPr>
      <w:r w:rsidRPr="00B7525F">
        <w:rPr>
          <w:rFonts w:ascii="Times New Roman" w:hAnsi="Times New Roman" w:cs="Times New Roman"/>
        </w:rPr>
        <w:t xml:space="preserve">Identify the strengths and limitations of conducting observations. </w:t>
      </w:r>
    </w:p>
    <w:p w14:paraId="7C8B5734" w14:textId="77777777" w:rsidR="00D91945" w:rsidRPr="00B7525F" w:rsidRDefault="00D91945" w:rsidP="00C23CDB">
      <w:pPr>
        <w:pStyle w:val="ListParagraph"/>
        <w:numPr>
          <w:ilvl w:val="0"/>
          <w:numId w:val="30"/>
        </w:numPr>
        <w:spacing w:after="160" w:line="259" w:lineRule="auto"/>
        <w:rPr>
          <w:rFonts w:ascii="Times New Roman" w:hAnsi="Times New Roman" w:cs="Times New Roman"/>
          <w:b/>
          <w:bCs/>
        </w:rPr>
      </w:pPr>
      <w:r w:rsidRPr="00B7525F">
        <w:rPr>
          <w:rFonts w:ascii="Times New Roman" w:hAnsi="Times New Roman" w:cs="Times New Roman"/>
        </w:rPr>
        <w:t xml:space="preserve">Compare and contrast participant observation and naturalistic observation. </w:t>
      </w:r>
    </w:p>
    <w:p w14:paraId="089D63A0" w14:textId="77777777" w:rsidR="00D91945" w:rsidRPr="00B7525F" w:rsidRDefault="00D91945" w:rsidP="00C23CDB">
      <w:pPr>
        <w:pStyle w:val="ListParagraph"/>
        <w:numPr>
          <w:ilvl w:val="0"/>
          <w:numId w:val="30"/>
        </w:numPr>
        <w:spacing w:after="160" w:line="259" w:lineRule="auto"/>
        <w:rPr>
          <w:rFonts w:ascii="Times New Roman" w:hAnsi="Times New Roman" w:cs="Times New Roman"/>
          <w:b/>
          <w:bCs/>
        </w:rPr>
      </w:pPr>
      <w:r w:rsidRPr="00B7525F">
        <w:rPr>
          <w:rFonts w:ascii="Times New Roman" w:hAnsi="Times New Roman" w:cs="Times New Roman"/>
        </w:rPr>
        <w:t xml:space="preserve">What challenges do you anticipate while conducting your own observations? How can you try in minimize them? </w:t>
      </w:r>
    </w:p>
    <w:p w14:paraId="19039CD0" w14:textId="77777777" w:rsidR="00D91945" w:rsidRPr="00B7525F" w:rsidRDefault="00D91945" w:rsidP="00C23CDB">
      <w:pPr>
        <w:pStyle w:val="ListParagraph"/>
        <w:numPr>
          <w:ilvl w:val="0"/>
          <w:numId w:val="30"/>
        </w:numPr>
        <w:spacing w:after="160" w:line="259" w:lineRule="auto"/>
        <w:rPr>
          <w:rFonts w:ascii="Times New Roman" w:hAnsi="Times New Roman" w:cs="Times New Roman"/>
          <w:b/>
          <w:bCs/>
        </w:rPr>
      </w:pPr>
      <w:r w:rsidRPr="00B7525F">
        <w:rPr>
          <w:rFonts w:ascii="Times New Roman" w:hAnsi="Times New Roman" w:cs="Times New Roman"/>
        </w:rPr>
        <w:t xml:space="preserve">What can you do as an ethnographer to reduce </w:t>
      </w:r>
      <w:r w:rsidRPr="00B7525F">
        <w:rPr>
          <w:rFonts w:ascii="Times New Roman" w:hAnsi="Times New Roman" w:cs="Times New Roman"/>
          <w:i/>
          <w:iCs/>
        </w:rPr>
        <w:t>observer bias</w:t>
      </w:r>
      <w:r w:rsidRPr="00B7525F">
        <w:rPr>
          <w:rFonts w:ascii="Times New Roman" w:hAnsi="Times New Roman" w:cs="Times New Roman"/>
        </w:rPr>
        <w:t xml:space="preserve">? </w:t>
      </w:r>
    </w:p>
    <w:p w14:paraId="3AA38711" w14:textId="77777777" w:rsidR="00D91945" w:rsidRPr="00B7525F" w:rsidRDefault="00D91945" w:rsidP="00D91945">
      <w:pPr>
        <w:rPr>
          <w:rFonts w:ascii="Times New Roman" w:hAnsi="Times New Roman" w:cs="Times New Roman"/>
        </w:rPr>
      </w:pPr>
    </w:p>
    <w:p w14:paraId="2E817729" w14:textId="77777777" w:rsidR="00D91945" w:rsidRPr="00B7525F" w:rsidRDefault="00D91945" w:rsidP="00D91945">
      <w:pPr>
        <w:pStyle w:val="Heading2"/>
      </w:pPr>
      <w:r w:rsidRPr="00B7525F">
        <w:t xml:space="preserve">Key Terms </w:t>
      </w:r>
    </w:p>
    <w:p w14:paraId="37C52D85" w14:textId="77777777" w:rsidR="00D91945" w:rsidRPr="00B7525F" w:rsidRDefault="00D91945" w:rsidP="00C23CDB">
      <w:pPr>
        <w:pStyle w:val="ListParagraph"/>
        <w:numPr>
          <w:ilvl w:val="0"/>
          <w:numId w:val="29"/>
        </w:numPr>
        <w:spacing w:after="160" w:line="259" w:lineRule="auto"/>
        <w:rPr>
          <w:rFonts w:ascii="Times New Roman" w:hAnsi="Times New Roman" w:cs="Times New Roman"/>
        </w:rPr>
      </w:pPr>
      <w:r w:rsidRPr="00B7525F">
        <w:rPr>
          <w:rFonts w:ascii="Times New Roman" w:hAnsi="Times New Roman" w:cs="Times New Roman"/>
        </w:rPr>
        <w:t>Hawthorne effect</w:t>
      </w:r>
    </w:p>
    <w:p w14:paraId="2270280D" w14:textId="77777777" w:rsidR="00D91945" w:rsidRPr="00B7525F" w:rsidRDefault="00D91945" w:rsidP="00C23CDB">
      <w:pPr>
        <w:pStyle w:val="ListParagraph"/>
        <w:numPr>
          <w:ilvl w:val="0"/>
          <w:numId w:val="29"/>
        </w:numPr>
        <w:spacing w:after="160" w:line="259" w:lineRule="auto"/>
        <w:rPr>
          <w:rFonts w:ascii="Times New Roman" w:hAnsi="Times New Roman" w:cs="Times New Roman"/>
        </w:rPr>
      </w:pPr>
      <w:r w:rsidRPr="00B7525F">
        <w:rPr>
          <w:rFonts w:ascii="Times New Roman" w:hAnsi="Times New Roman" w:cs="Times New Roman"/>
        </w:rPr>
        <w:t>Observer bias</w:t>
      </w:r>
    </w:p>
    <w:p w14:paraId="43BD414E" w14:textId="77777777" w:rsidR="00D91945" w:rsidRPr="00B7525F" w:rsidRDefault="00D91945" w:rsidP="00C23CDB">
      <w:pPr>
        <w:pStyle w:val="ListParagraph"/>
        <w:numPr>
          <w:ilvl w:val="0"/>
          <w:numId w:val="29"/>
        </w:numPr>
        <w:spacing w:after="160" w:line="259" w:lineRule="auto"/>
        <w:rPr>
          <w:rFonts w:ascii="Times New Roman" w:hAnsi="Times New Roman" w:cs="Times New Roman"/>
          <w:b/>
          <w:bCs/>
        </w:rPr>
      </w:pPr>
      <w:r w:rsidRPr="00B7525F">
        <w:rPr>
          <w:rFonts w:ascii="Times New Roman" w:hAnsi="Times New Roman" w:cs="Times New Roman"/>
        </w:rPr>
        <w:t>Validity</w:t>
      </w:r>
    </w:p>
    <w:p w14:paraId="4E7F2B38" w14:textId="77777777" w:rsidR="00D91945" w:rsidRPr="00B7525F" w:rsidRDefault="00D91945" w:rsidP="00C23CDB">
      <w:pPr>
        <w:pStyle w:val="ListParagraph"/>
        <w:numPr>
          <w:ilvl w:val="0"/>
          <w:numId w:val="29"/>
        </w:numPr>
        <w:spacing w:after="160" w:line="259" w:lineRule="auto"/>
        <w:rPr>
          <w:rFonts w:ascii="Times New Roman" w:hAnsi="Times New Roman" w:cs="Times New Roman"/>
          <w:b/>
          <w:bCs/>
        </w:rPr>
      </w:pPr>
      <w:r w:rsidRPr="00B7525F">
        <w:rPr>
          <w:rFonts w:ascii="Times New Roman" w:hAnsi="Times New Roman" w:cs="Times New Roman"/>
        </w:rPr>
        <w:t>Participant Observation</w:t>
      </w:r>
    </w:p>
    <w:p w14:paraId="7FA9F408" w14:textId="77777777" w:rsidR="00D91945" w:rsidRPr="00B7525F" w:rsidRDefault="00D91945" w:rsidP="00D91945">
      <w:pPr>
        <w:rPr>
          <w:rFonts w:ascii="Times New Roman" w:hAnsi="Times New Roman" w:cs="Times New Roman"/>
        </w:rPr>
      </w:pPr>
    </w:p>
    <w:p w14:paraId="3603DE4D" w14:textId="77777777" w:rsidR="00D91945" w:rsidRPr="00B7525F" w:rsidRDefault="00D91945" w:rsidP="00D91945">
      <w:pPr>
        <w:pStyle w:val="Heading2"/>
      </w:pPr>
      <w:r w:rsidRPr="00B7525F">
        <w:t>References</w:t>
      </w:r>
    </w:p>
    <w:p w14:paraId="4D741281" w14:textId="77777777" w:rsidR="00D91945" w:rsidRPr="000025A5" w:rsidRDefault="00D91945" w:rsidP="00D91945">
      <w:pPr>
        <w:ind w:left="1080" w:hanging="720"/>
        <w:rPr>
          <w:rFonts w:ascii="Times New Roman" w:hAnsi="Times New Roman" w:cs="Times New Roman"/>
        </w:rPr>
      </w:pPr>
      <w:r w:rsidRPr="000025A5">
        <w:rPr>
          <w:rFonts w:ascii="Times New Roman" w:hAnsi="Times New Roman" w:cs="Times New Roman"/>
        </w:rPr>
        <w:t xml:space="preserve">Blackstone, A. (2012). </w:t>
      </w:r>
      <w:r w:rsidRPr="000025A5">
        <w:rPr>
          <w:rFonts w:ascii="Times New Roman" w:hAnsi="Times New Roman" w:cs="Times New Roman"/>
          <w:i/>
        </w:rPr>
        <w:t>Principles of sociological inquiry – Qualitative and quantitative methods</w:t>
      </w:r>
      <w:r w:rsidRPr="000025A5">
        <w:rPr>
          <w:rFonts w:ascii="Times New Roman" w:hAnsi="Times New Roman" w:cs="Times New Roman"/>
        </w:rPr>
        <w:t xml:space="preserve">. Retrieved from </w:t>
      </w:r>
      <w:hyperlink r:id="rId72" w:history="1">
        <w:r w:rsidRPr="000025A5">
          <w:rPr>
            <w:rStyle w:val="Hyperlink"/>
            <w:rFonts w:ascii="Times New Roman" w:hAnsi="Times New Roman" w:cs="Times New Roman"/>
          </w:rPr>
          <w:t>https://resources.saylor.org/wwwresources/archived/site/textbooks/Principles%20of%20Sociological%20Inquiry.pdf</w:t>
        </w:r>
      </w:hyperlink>
    </w:p>
    <w:p w14:paraId="78F6B33B" w14:textId="77777777" w:rsidR="00D91945" w:rsidRPr="000025A5" w:rsidRDefault="00D91945" w:rsidP="00D91945">
      <w:pPr>
        <w:ind w:left="1080" w:hanging="720"/>
        <w:rPr>
          <w:rFonts w:ascii="Times New Roman" w:hAnsi="Times New Roman" w:cs="Times New Roman"/>
        </w:rPr>
      </w:pPr>
      <w:r w:rsidRPr="000025A5">
        <w:rPr>
          <w:rFonts w:ascii="Times New Roman" w:hAnsi="Times New Roman" w:cs="Times New Roman"/>
        </w:rPr>
        <w:t xml:space="preserve">Griffiths, H., </w:t>
      </w:r>
      <w:proofErr w:type="spellStart"/>
      <w:r w:rsidRPr="000025A5">
        <w:rPr>
          <w:rFonts w:ascii="Times New Roman" w:hAnsi="Times New Roman" w:cs="Times New Roman"/>
        </w:rPr>
        <w:t>Keirns</w:t>
      </w:r>
      <w:proofErr w:type="spellEnd"/>
      <w:r w:rsidRPr="000025A5">
        <w:rPr>
          <w:rFonts w:ascii="Times New Roman" w:hAnsi="Times New Roman" w:cs="Times New Roman"/>
        </w:rPr>
        <w:t>, N., Strayer, E., Cody-</w:t>
      </w:r>
      <w:proofErr w:type="spellStart"/>
      <w:r w:rsidRPr="000025A5">
        <w:rPr>
          <w:rFonts w:ascii="Times New Roman" w:hAnsi="Times New Roman" w:cs="Times New Roman"/>
        </w:rPr>
        <w:t>Rydzewski</w:t>
      </w:r>
      <w:proofErr w:type="spellEnd"/>
      <w:r w:rsidRPr="000025A5">
        <w:rPr>
          <w:rFonts w:ascii="Times New Roman" w:hAnsi="Times New Roman" w:cs="Times New Roman"/>
        </w:rPr>
        <w:t xml:space="preserve">, S., </w:t>
      </w:r>
      <w:proofErr w:type="spellStart"/>
      <w:r w:rsidRPr="000025A5">
        <w:rPr>
          <w:rFonts w:ascii="Times New Roman" w:hAnsi="Times New Roman" w:cs="Times New Roman"/>
        </w:rPr>
        <w:t>Scaramuzzo</w:t>
      </w:r>
      <w:proofErr w:type="spellEnd"/>
      <w:r w:rsidRPr="000025A5">
        <w:rPr>
          <w:rFonts w:ascii="Times New Roman" w:hAnsi="Times New Roman" w:cs="Times New Roman"/>
        </w:rPr>
        <w:t xml:space="preserve">, G., Sadler, T., </w:t>
      </w:r>
      <w:proofErr w:type="spellStart"/>
      <w:r w:rsidRPr="000025A5">
        <w:rPr>
          <w:rFonts w:ascii="Times New Roman" w:hAnsi="Times New Roman" w:cs="Times New Roman"/>
        </w:rPr>
        <w:t>Vyain</w:t>
      </w:r>
      <w:proofErr w:type="spellEnd"/>
      <w:r w:rsidRPr="000025A5">
        <w:rPr>
          <w:rFonts w:ascii="Times New Roman" w:hAnsi="Times New Roman" w:cs="Times New Roman"/>
        </w:rPr>
        <w:t xml:space="preserve">, S.,  </w:t>
      </w:r>
      <w:proofErr w:type="spellStart"/>
      <w:r w:rsidRPr="000025A5">
        <w:rPr>
          <w:rFonts w:ascii="Times New Roman" w:hAnsi="Times New Roman" w:cs="Times New Roman"/>
        </w:rPr>
        <w:t>Bry</w:t>
      </w:r>
      <w:proofErr w:type="spellEnd"/>
      <w:r w:rsidRPr="000025A5">
        <w:rPr>
          <w:rFonts w:ascii="Times New Roman" w:hAnsi="Times New Roman" w:cs="Times New Roman"/>
        </w:rPr>
        <w:t xml:space="preserve">, J., and Jones, FF. </w:t>
      </w:r>
      <w:r w:rsidRPr="000025A5">
        <w:rPr>
          <w:rFonts w:ascii="Times New Roman" w:hAnsi="Times New Roman" w:cs="Times New Roman"/>
          <w:i/>
        </w:rPr>
        <w:t>Introduction to Sociology 2e</w:t>
      </w:r>
      <w:r w:rsidRPr="000025A5">
        <w:rPr>
          <w:rFonts w:ascii="Times New Roman" w:hAnsi="Times New Roman" w:cs="Times New Roman"/>
        </w:rPr>
        <w:t xml:space="preserve">. Retrieved from </w:t>
      </w:r>
      <w:hyperlink r:id="rId73" w:history="1">
        <w:r w:rsidRPr="000025A5">
          <w:rPr>
            <w:rStyle w:val="Hyperlink"/>
            <w:rFonts w:ascii="Times New Roman" w:hAnsi="Times New Roman" w:cs="Times New Roman"/>
          </w:rPr>
          <w:t>https://www.oercommons.org/courseware/module/11760/overview</w:t>
        </w:r>
      </w:hyperlink>
    </w:p>
    <w:p w14:paraId="2B46CC81" w14:textId="77777777" w:rsidR="00D91945" w:rsidRPr="000025A5" w:rsidRDefault="00D91945" w:rsidP="00D91945">
      <w:pPr>
        <w:ind w:left="1080" w:hanging="720"/>
        <w:rPr>
          <w:rFonts w:ascii="Times New Roman" w:hAnsi="Times New Roman" w:cs="Times New Roman"/>
        </w:rPr>
      </w:pPr>
      <w:r w:rsidRPr="000025A5">
        <w:rPr>
          <w:rFonts w:ascii="Times New Roman" w:hAnsi="Times New Roman" w:cs="Times New Roman"/>
        </w:rPr>
        <w:t xml:space="preserve">Spielman, R., Dumper, K., Jenkins, W., Lacombe, A., Lovett, M., and Perlmutter, M. (2019). </w:t>
      </w:r>
      <w:r w:rsidRPr="000025A5">
        <w:rPr>
          <w:rFonts w:ascii="Times New Roman" w:hAnsi="Times New Roman" w:cs="Times New Roman"/>
          <w:i/>
        </w:rPr>
        <w:t>Psychology</w:t>
      </w:r>
      <w:r w:rsidRPr="000025A5">
        <w:rPr>
          <w:rFonts w:ascii="Times New Roman" w:hAnsi="Times New Roman" w:cs="Times New Roman"/>
        </w:rPr>
        <w:t xml:space="preserve">. Retrieved from </w:t>
      </w:r>
      <w:hyperlink r:id="rId74" w:history="1">
        <w:r w:rsidRPr="000025A5">
          <w:rPr>
            <w:rStyle w:val="Hyperlink"/>
            <w:rFonts w:ascii="Times New Roman" w:hAnsi="Times New Roman" w:cs="Times New Roman"/>
          </w:rPr>
          <w:t>https://cnx.org/contents/Sr8Ev5Og@10.16:F_mjYFfh@24/Preface</w:t>
        </w:r>
      </w:hyperlink>
    </w:p>
    <w:p w14:paraId="6F05FD8F" w14:textId="1F09F6D1" w:rsidR="00D91945" w:rsidRDefault="00D91945">
      <w:r>
        <w:br w:type="page"/>
      </w:r>
    </w:p>
    <w:p w14:paraId="5D64D95C" w14:textId="77777777" w:rsidR="00D91945" w:rsidRPr="00295192" w:rsidRDefault="00D91945" w:rsidP="00D91945">
      <w:pPr>
        <w:pStyle w:val="Heading1"/>
        <w:jc w:val="center"/>
        <w:rPr>
          <w:sz w:val="28"/>
          <w:szCs w:val="28"/>
        </w:rPr>
      </w:pPr>
      <w:r w:rsidRPr="00295192">
        <w:rPr>
          <w:sz w:val="28"/>
          <w:szCs w:val="28"/>
        </w:rPr>
        <w:lastRenderedPageBreak/>
        <w:t>Sensory Ethnography</w:t>
      </w:r>
    </w:p>
    <w:p w14:paraId="00F37FD6" w14:textId="77777777" w:rsidR="00D91945" w:rsidRPr="00295192" w:rsidRDefault="00D91945" w:rsidP="00D91945">
      <w:pPr>
        <w:jc w:val="center"/>
      </w:pPr>
      <w:r w:rsidRPr="00295192">
        <w:t>Tom Martin, PhD</w:t>
      </w:r>
    </w:p>
    <w:p w14:paraId="187BD26B" w14:textId="77777777" w:rsidR="00D91945" w:rsidRPr="00295192" w:rsidRDefault="00D91945" w:rsidP="00D91945"/>
    <w:p w14:paraId="614403A6" w14:textId="77777777" w:rsidR="00D91945" w:rsidRPr="00295192" w:rsidRDefault="00D91945" w:rsidP="00605712">
      <w:pPr>
        <w:ind w:firstLine="720"/>
      </w:pPr>
      <w:r w:rsidRPr="00295192">
        <w:t xml:space="preserve">If you have made it this far into this textbook, you will be </w:t>
      </w:r>
      <w:r>
        <w:t xml:space="preserve">quite </w:t>
      </w:r>
      <w:r w:rsidRPr="00295192">
        <w:t xml:space="preserve">familiar with the idea of ‘participant observation’, the mainstay of the ethnographic method. Watching people, talking with them, and actively engaging in social practices are the participatory techniques through which the ethnographer learns to see the world as his or her participants do, rich with socially constructed and historically situated meaning. Yet the focus on </w:t>
      </w:r>
      <w:r w:rsidRPr="00295192">
        <w:rPr>
          <w:i/>
          <w:iCs/>
        </w:rPr>
        <w:t xml:space="preserve">seeing </w:t>
      </w:r>
      <w:r w:rsidRPr="00295192">
        <w:t xml:space="preserve">the world as your participants do sometimes eclipses the other sensory modes that people employ to make sense of social and material interactions. Especially in the ethnography of work, it is important to understand how your participants </w:t>
      </w:r>
      <w:r>
        <w:t>understand</w:t>
      </w:r>
      <w:r w:rsidRPr="00295192">
        <w:t xml:space="preserve"> non-visual information, such as the textures of the materials they use or the feeling of the tools they operate. This embodied understanding cannot be adequately examined just by watching another person’s body; in these cases, ethnographic data collection requires feeling, hearing, smelling, and tasting the physical world as well. Throughout this chapter, these non-visual methods of data collection will be collectively referred to as the techniques of </w:t>
      </w:r>
      <w:r w:rsidRPr="00295192">
        <w:rPr>
          <w:i/>
          <w:iCs/>
        </w:rPr>
        <w:t>sensory ethnography</w:t>
      </w:r>
      <w:r w:rsidRPr="00295192">
        <w:t>.</w:t>
      </w:r>
    </w:p>
    <w:p w14:paraId="662695CC" w14:textId="77777777" w:rsidR="00D91945" w:rsidRPr="00295192" w:rsidRDefault="00D91945" w:rsidP="00605712">
      <w:pPr>
        <w:ind w:firstLine="720"/>
      </w:pPr>
      <w:r w:rsidRPr="00295192">
        <w:t>Sensory ethnography is not totally distinct from the rest of ethnography</w:t>
      </w:r>
      <w:r>
        <w:t>, as</w:t>
      </w:r>
      <w:r w:rsidRPr="00295192">
        <w:t xml:space="preserve"> there is no such thing as ‘non-sensory’ ethnography. After all, the ethnographer always uses his or her eyes and ears during fieldwork, relying on the senses of sight and sound to form observations. The term ‘sensory ethnography’ is meant to remind the researcher that a myriad of other senses </w:t>
      </w:r>
      <w:proofErr w:type="gramStart"/>
      <w:r w:rsidRPr="00295192">
        <w:t>exist</w:t>
      </w:r>
      <w:proofErr w:type="gramEnd"/>
      <w:r w:rsidRPr="00295192">
        <w:t xml:space="preserve"> as well, many of which are routinely overlooked</w:t>
      </w:r>
      <w:r>
        <w:t xml:space="preserve"> in studies of the social and cultural world</w:t>
      </w:r>
      <w:r w:rsidRPr="00295192">
        <w:t xml:space="preserve">. In this chapter, we will consider what these senses are, how they can be recorded, and how they might play into ethnographic explorations of </w:t>
      </w:r>
      <w:proofErr w:type="gramStart"/>
      <w:r w:rsidRPr="00295192">
        <w:t xml:space="preserve">particular </w:t>
      </w:r>
      <w:r>
        <w:t>kinds</w:t>
      </w:r>
      <w:proofErr w:type="gramEnd"/>
      <w:r>
        <w:t xml:space="preserve"> of work.</w:t>
      </w:r>
    </w:p>
    <w:p w14:paraId="714DAA51" w14:textId="77777777" w:rsidR="00D91945" w:rsidRPr="00295192" w:rsidRDefault="00D91945" w:rsidP="00D91945"/>
    <w:p w14:paraId="4B8BE541" w14:textId="77777777" w:rsidR="00D91945" w:rsidRPr="00295192" w:rsidRDefault="00D91945" w:rsidP="00D91945">
      <w:pPr>
        <w:pStyle w:val="Heading2"/>
      </w:pPr>
      <w:r w:rsidRPr="00295192">
        <w:t>What are the ‘senses’?</w:t>
      </w:r>
    </w:p>
    <w:p w14:paraId="3FF86393" w14:textId="77777777" w:rsidR="00D91945" w:rsidRDefault="00D91945" w:rsidP="00605712">
      <w:pPr>
        <w:ind w:firstLine="720"/>
      </w:pPr>
      <w:r w:rsidRPr="00295192">
        <w:t xml:space="preserve">You probably remember the classic five senses from your grade-school science class: touch, sight, hearing, smell and taste. These five </w:t>
      </w:r>
      <w:r>
        <w:t xml:space="preserve">senses </w:t>
      </w:r>
      <w:r w:rsidRPr="00295192">
        <w:t xml:space="preserve">are going to be the backbone of any sensory ethnography, which puts your whole body into conversation with the world around it. How do things sound? Music </w:t>
      </w:r>
      <w:r>
        <w:t xml:space="preserve">can </w:t>
      </w:r>
      <w:r w:rsidRPr="00295192">
        <w:t xml:space="preserve">play a big part in many cultures, and if you cannot describe how the music sounds, you will not be able to produce a full portrait of how that culture operates. How do things taste? Again, food </w:t>
      </w:r>
      <w:r>
        <w:t xml:space="preserve">can </w:t>
      </w:r>
      <w:r w:rsidRPr="00295192">
        <w:t xml:space="preserve">play a significant role in people’s lives, </w:t>
      </w:r>
      <w:r>
        <w:t xml:space="preserve">and being able to </w:t>
      </w:r>
      <w:r w:rsidRPr="00295192">
        <w:t xml:space="preserve">describe how different foods taste </w:t>
      </w:r>
      <w:r>
        <w:t>can allow you</w:t>
      </w:r>
      <w:r w:rsidRPr="00295192">
        <w:t xml:space="preserve"> fully depict the cultures that eat those foods.</w:t>
      </w:r>
    </w:p>
    <w:p w14:paraId="3710C283" w14:textId="77777777" w:rsidR="00D91945" w:rsidRPr="00295192" w:rsidRDefault="00D91945" w:rsidP="00D91945"/>
    <w:p w14:paraId="1902F9B4" w14:textId="77777777" w:rsidR="00D91945" w:rsidRPr="00295192" w:rsidRDefault="00D91945" w:rsidP="00D91945">
      <w:pPr>
        <w:pStyle w:val="Heading3"/>
      </w:pPr>
      <w:r w:rsidRPr="00295192">
        <w:t>Sight as sense</w:t>
      </w:r>
    </w:p>
    <w:p w14:paraId="79190A01" w14:textId="77777777" w:rsidR="00D91945" w:rsidRPr="00295192" w:rsidRDefault="00D91945" w:rsidP="00605712">
      <w:pPr>
        <w:ind w:firstLine="720"/>
      </w:pPr>
      <w:r w:rsidRPr="00295192">
        <w:t xml:space="preserve">‘Now wait’ you might be </w:t>
      </w:r>
      <w:proofErr w:type="gramStart"/>
      <w:r w:rsidRPr="00295192">
        <w:t>thinking</w:t>
      </w:r>
      <w:r>
        <w:t>:</w:t>
      </w:r>
      <w:r w:rsidRPr="00295192">
        <w:t>.</w:t>
      </w:r>
      <w:proofErr w:type="gramEnd"/>
      <w:r w:rsidRPr="00295192">
        <w:t xml:space="preserve"> ‘You said sight is one of the five senses. </w:t>
      </w:r>
      <w:proofErr w:type="gramStart"/>
      <w:r w:rsidRPr="00295192">
        <w:t>So</w:t>
      </w:r>
      <w:proofErr w:type="gramEnd"/>
      <w:r w:rsidRPr="00295192">
        <w:t xml:space="preserve"> isn’t observation already sensory ethnography?’. Yes, you are </w:t>
      </w:r>
      <w:r>
        <w:t>correct</w:t>
      </w:r>
      <w:r w:rsidRPr="00295192">
        <w:t xml:space="preserve"> – all ethnographic data</w:t>
      </w:r>
      <w:r>
        <w:t>,</w:t>
      </w:r>
      <w:r w:rsidRPr="000E765C">
        <w:t xml:space="preserve"> </w:t>
      </w:r>
      <w:r w:rsidRPr="00295192">
        <w:t>including the simplest visual observation</w:t>
      </w:r>
      <w:r>
        <w:t>s,</w:t>
      </w:r>
      <w:r w:rsidRPr="00295192">
        <w:t xml:space="preserve"> comes from paying attention to </w:t>
      </w:r>
      <w:r>
        <w:t>one’s</w:t>
      </w:r>
      <w:r w:rsidRPr="00295192">
        <w:t xml:space="preserve"> body. When you observe your research participants, you necessarily rely on your eyes, so you have </w:t>
      </w:r>
      <w:r>
        <w:t xml:space="preserve">therefore </w:t>
      </w:r>
      <w:r w:rsidRPr="00295192">
        <w:t xml:space="preserve">already started practicing sensory ethnography. Most sensory ethnographers, however, go beyond just describing what they see, talking instead about what it feels like </w:t>
      </w:r>
      <w:r>
        <w:t>for them to</w:t>
      </w:r>
      <w:r w:rsidRPr="00295192">
        <w:t xml:space="preserve"> see certain things. For the purposes of this chapter, we can call this a difference between </w:t>
      </w:r>
      <w:r w:rsidRPr="00295192">
        <w:rPr>
          <w:i/>
          <w:iCs/>
        </w:rPr>
        <w:t>perception</w:t>
      </w:r>
      <w:r w:rsidRPr="00295192">
        <w:t xml:space="preserve"> and </w:t>
      </w:r>
      <w:r w:rsidRPr="00295192">
        <w:rPr>
          <w:i/>
          <w:iCs/>
        </w:rPr>
        <w:t>sensation</w:t>
      </w:r>
      <w:r w:rsidRPr="00295192">
        <w:t xml:space="preserve"> </w:t>
      </w:r>
      <w:r w:rsidRPr="00295192">
        <w:fldChar w:fldCharType="begin"/>
      </w:r>
      <w:r w:rsidRPr="00295192">
        <w:instrText xml:space="preserve"> ADDIN ZOTERO_ITEM CSL_CITATION {"citationID":"tgRmd96G","properties":{"formattedCitation":"(Armstrong, 1962)","plainCitation":"(Armstrong, 1962)","noteIndex":0},"citationItems":[{"id":27,"uris":["http://zotero.org/users/local/Nb4N2uBJ/items/EKTKAACG"],"uri":["http://zotero.org/users/local/Nb4N2uBJ/items/EKTKAACG"],"itemData":{"id":27,"type":"book","title":"Bodily sensations","collection-title":"Studies in philosophical psychology","publisher":"Routledge &amp; Kegan Paul","publisher-place":"London","event-place":"London","language":"eng","author":[{"family":"Armstrong","given":"D M"}],"issued":{"date-parts":[["1962"]]}}}],"schema":"https://github.com/citation-style-language/schema/raw/master/csl-citation.json"} </w:instrText>
      </w:r>
      <w:r w:rsidRPr="00295192">
        <w:fldChar w:fldCharType="separate"/>
      </w:r>
      <w:r w:rsidRPr="00295192">
        <w:rPr>
          <w:noProof/>
        </w:rPr>
        <w:t>(Armstrong, 1962)</w:t>
      </w:r>
      <w:r w:rsidRPr="00295192">
        <w:fldChar w:fldCharType="end"/>
      </w:r>
      <w:r w:rsidRPr="00295192">
        <w:t xml:space="preserve">. Take these two excerpts as examples to </w:t>
      </w:r>
      <w:r w:rsidRPr="00295192">
        <w:lastRenderedPageBreak/>
        <w:t>illustrate the difference, starting with Eugene Cooper’s description of learning to do historic Chinese woodcarving:</w:t>
      </w:r>
    </w:p>
    <w:p w14:paraId="50A1D24E" w14:textId="77777777" w:rsidR="00D91945" w:rsidRPr="00295192" w:rsidRDefault="00D91945" w:rsidP="00D91945"/>
    <w:p w14:paraId="6B0DE39C" w14:textId="77777777" w:rsidR="00D91945" w:rsidRPr="00295192" w:rsidRDefault="00D91945" w:rsidP="00D91945">
      <w:pPr>
        <w:pStyle w:val="Quote"/>
      </w:pPr>
      <w:r w:rsidRPr="00295192">
        <w:t xml:space="preserve">…my boss, under pressure to keep me productively occupied, and not wishing to assign me any work too far beyond my limited capabilities, gave me a piece to work on that had already been begun by someone else. It was </w:t>
      </w:r>
      <w:proofErr w:type="gramStart"/>
      <w:r w:rsidRPr="00295192">
        <w:t>really poorly</w:t>
      </w:r>
      <w:proofErr w:type="gramEnd"/>
      <w:r w:rsidRPr="00295192">
        <w:t xml:space="preserve"> done, and for a while I wondered who was responsible. Slowly, </w:t>
      </w:r>
      <w:r w:rsidRPr="00295192">
        <w:rPr>
          <w:i/>
          <w:iCs/>
        </w:rPr>
        <w:t>a déjà vu</w:t>
      </w:r>
      <w:r w:rsidRPr="00295192">
        <w:t xml:space="preserve"> took shape; the piece was </w:t>
      </w:r>
      <w:proofErr w:type="gramStart"/>
      <w:r w:rsidRPr="00295192">
        <w:t>really familiar</w:t>
      </w:r>
      <w:proofErr w:type="gramEnd"/>
      <w:r w:rsidRPr="00295192">
        <w:t xml:space="preserve">. I had started it three months before. </w:t>
      </w:r>
      <w:r w:rsidRPr="00295192">
        <w:fldChar w:fldCharType="begin"/>
      </w:r>
      <w:r w:rsidRPr="00295192">
        <w:instrText xml:space="preserve"> ADDIN ZOTERO_ITEM CSL_CITATION {"citationID":"vDgVM51v","properties":{"formattedCitation":"(Cooper, 1989, p. 145)","plainCitation":"(Cooper, 1989, p. 145)","noteIndex":0},"citationItems":[{"id":2075,"uris":["http://zotero.org/users/local/Nb4N2uBJ/items/45CJDF84"],"uri":["http://zotero.org/users/local/Nb4N2uBJ/items/45CJDF84"],"itemData":{"id":2075,"type":"chapter","title":"Apprenticeship as field method: Lessons from Hong Kong","container-title":"Apprenticeship: From Theory to Method and Back Again","publisher":"State University of New York Press","publisher-place":"New York","event-place":"New York","author":[{"family":"Cooper","given":"Eugene"}],"editor":[{"family":"Coy","given":"Michael"}],"issued":{"date-parts":[["1989"]]}},"locator":"145"}],"schema":"https://github.com/citation-style-language/schema/raw/master/csl-citation.json"} </w:instrText>
      </w:r>
      <w:r w:rsidRPr="00295192">
        <w:fldChar w:fldCharType="separate"/>
      </w:r>
      <w:r w:rsidRPr="00295192">
        <w:rPr>
          <w:noProof/>
        </w:rPr>
        <w:t>(Cooper, 1989, p. 145)</w:t>
      </w:r>
      <w:r w:rsidRPr="00295192">
        <w:fldChar w:fldCharType="end"/>
      </w:r>
    </w:p>
    <w:p w14:paraId="0EE1B962" w14:textId="77777777" w:rsidR="00D91945" w:rsidRPr="00295192" w:rsidRDefault="00D91945" w:rsidP="00D91945"/>
    <w:p w14:paraId="049192B0" w14:textId="77777777" w:rsidR="00D91945" w:rsidRPr="00295192" w:rsidRDefault="00D91945" w:rsidP="00D91945">
      <w:r w:rsidRPr="00295192">
        <w:t xml:space="preserve">In this passage, Cooper tells us what it was like to </w:t>
      </w:r>
      <w:r w:rsidRPr="00295192">
        <w:rPr>
          <w:i/>
          <w:iCs/>
        </w:rPr>
        <w:t>perceive</w:t>
      </w:r>
      <w:r w:rsidRPr="00295192">
        <w:t xml:space="preserve"> the work piece in front of him; in other words, he tells us about how </w:t>
      </w:r>
      <w:r>
        <w:t xml:space="preserve">he recognizes the </w:t>
      </w:r>
      <w:r w:rsidRPr="00295192">
        <w:t xml:space="preserve">object, rather than how it feels to see it. This kind of perceptual description is common </w:t>
      </w:r>
      <w:r>
        <w:t>in</w:t>
      </w:r>
      <w:r w:rsidRPr="00295192">
        <w:t xml:space="preserve"> </w:t>
      </w:r>
      <w:r>
        <w:t xml:space="preserve">conventional </w:t>
      </w:r>
      <w:r w:rsidRPr="00295192">
        <w:t>participant observation, where the ethnographer is concerned with reporting what</w:t>
      </w:r>
      <w:r>
        <w:t xml:space="preserve"> is</w:t>
      </w:r>
      <w:r w:rsidRPr="00295192">
        <w:t xml:space="preserve"> happen</w:t>
      </w:r>
      <w:r>
        <w:t>ing</w:t>
      </w:r>
      <w:r w:rsidRPr="00295192">
        <w:t xml:space="preserve"> in a </w:t>
      </w:r>
      <w:proofErr w:type="gramStart"/>
      <w:r w:rsidRPr="00295192">
        <w:t>particular place</w:t>
      </w:r>
      <w:proofErr w:type="gramEnd"/>
      <w:r w:rsidRPr="00295192">
        <w:t>, and not how his or her body reacts to incoming sensations.</w:t>
      </w:r>
    </w:p>
    <w:p w14:paraId="4089F073" w14:textId="77777777" w:rsidR="00D91945" w:rsidRPr="00295192" w:rsidRDefault="00D91945" w:rsidP="00605712">
      <w:pPr>
        <w:ind w:firstLine="720"/>
      </w:pPr>
      <w:r w:rsidRPr="00295192">
        <w:t>By contrast, consider this passage by Erin O’Connor, from an article in which she describes her experience of learning to blow glass:</w:t>
      </w:r>
    </w:p>
    <w:p w14:paraId="06DA4565" w14:textId="77777777" w:rsidR="00D91945" w:rsidRPr="00295192" w:rsidRDefault="00D91945" w:rsidP="00D91945"/>
    <w:p w14:paraId="7EA4F074" w14:textId="77777777" w:rsidR="00D91945" w:rsidRPr="00295192" w:rsidRDefault="00D91945" w:rsidP="00D91945">
      <w:pPr>
        <w:pStyle w:val="Quote"/>
      </w:pPr>
      <w:r w:rsidRPr="00295192">
        <w:t>I was interested in</w:t>
      </w:r>
      <w:r>
        <w:t xml:space="preserve">… </w:t>
      </w:r>
      <w:r w:rsidRPr="00295192">
        <w:t xml:space="preserve">turning and turning the glass, watching the configuration swim in the brilliant red, feeling the warmth simultaneously… I wondered if there were glassblowers who just stand </w:t>
      </w:r>
      <w:r>
        <w:t>[there]</w:t>
      </w:r>
      <w:r w:rsidRPr="00295192">
        <w:t xml:space="preserve"> with the glass, never ever completing one object… At the time, this visual fantasia seemed brilliant, inspiring like a muse, and I thought surely that it must be a salient aspect of the glassblower’s pleasure of practicing her craft. </w:t>
      </w:r>
      <w:r w:rsidRPr="00295192">
        <w:fldChar w:fldCharType="begin"/>
      </w:r>
      <w:r w:rsidRPr="00295192">
        <w:instrText xml:space="preserve"> ADDIN ZOTERO_ITEM CSL_CITATION {"citationID":"pViYb2KR","properties":{"formattedCitation":"(O\\uc0\\u8217{}Connor, 2005, p. 197)","plainCitation":"(O’Connor, 2005, p. 197)","noteIndex":0},"citationItems":[{"id":347,"uris":["http://zotero.org/users/local/Nb4N2uBJ/items/X3ERL2NL"],"uri":["http://zotero.org/users/local/Nb4N2uBJ/items/X3ERL2NL"],"itemData":{"id":347,"type":"article-journal","title":"Embodied knowledge: The experience of meaning and the struggle towards proficiency in glassblowing","container-title":"Ethnography","page":"183-204","volume":"6","issue":"2","abstract":"Becoming a proficient glassblower involves an indispensable shift away from cognitive readings of practice towards corporeal readings. In learning glassblowing myself in the course of an ethnography of handicrafts in New York City, the subtleties of apprenticeship, the modes of reading and understanding the practice, both cognitive and corporeal, have emerged, making more complex our understanding of the transmission, development, and modalities of practical knowledge. Such ethnographic dissection brings phenomenological considerations to bear on the question of achieving proficient practical knowledge, and enables us to sharpen our understanding of the role of meaning in practice.","ISSN":"03626784","author":[{"family":"O'Connor","given":"Erin"}],"issued":{"date-parts":[["2005"]]}},"locator":"197"}],"schema":"https://github.com/citation-style-language/schema/raw/master/csl-citation.json"} </w:instrText>
      </w:r>
      <w:r w:rsidRPr="00295192">
        <w:fldChar w:fldCharType="separate"/>
      </w:r>
      <w:r w:rsidRPr="00295192">
        <w:t>(O’Connor, 2005, p. 197)</w:t>
      </w:r>
      <w:r w:rsidRPr="00295192">
        <w:fldChar w:fldCharType="end"/>
      </w:r>
    </w:p>
    <w:p w14:paraId="18A99E42" w14:textId="77777777" w:rsidR="00D91945" w:rsidRPr="00295192" w:rsidRDefault="00D91945" w:rsidP="00D91945"/>
    <w:p w14:paraId="3E29173A" w14:textId="77777777" w:rsidR="00D91945" w:rsidRPr="00295192" w:rsidRDefault="00D91945" w:rsidP="00D91945">
      <w:r w:rsidRPr="00295192">
        <w:t xml:space="preserve">Like Cooper, O’Connor is telling us about what she saw when she was </w:t>
      </w:r>
      <w:r>
        <w:t xml:space="preserve">at work, </w:t>
      </w:r>
      <w:r w:rsidRPr="00295192">
        <w:t xml:space="preserve">learning her craft. Unlike Cooper, however, O’Connor focuses on what it felt like </w:t>
      </w:r>
      <w:r>
        <w:t>as the light and heat emanating from the materials reached her body, rather than just relating</w:t>
      </w:r>
      <w:r w:rsidRPr="00295192">
        <w:t xml:space="preserve"> </w:t>
      </w:r>
      <w:r>
        <w:t>judgments about the appearance of the finished product</w:t>
      </w:r>
      <w:r w:rsidRPr="00295192">
        <w:t xml:space="preserve">. She focuses on her visual </w:t>
      </w:r>
      <w:r w:rsidRPr="00295192">
        <w:rPr>
          <w:i/>
          <w:iCs/>
        </w:rPr>
        <w:t>sensation</w:t>
      </w:r>
      <w:r w:rsidRPr="00295192">
        <w:t xml:space="preserve"> of the glass-blowing process, the ‘brilliant red’ and the ‘visual fantasia’. This kind of description is the hallmark of the sensory ethnographer, who is concerned with the lived experience of the body in social and cultural practices</w:t>
      </w:r>
      <w:r>
        <w:t>.</w:t>
      </w:r>
    </w:p>
    <w:p w14:paraId="496CF053" w14:textId="77777777" w:rsidR="00D91945" w:rsidRPr="00295192" w:rsidRDefault="00D91945" w:rsidP="00D91945"/>
    <w:p w14:paraId="734C7B56" w14:textId="77777777" w:rsidR="00D91945" w:rsidRPr="00295192" w:rsidRDefault="00D91945" w:rsidP="00D91945">
      <w:pPr>
        <w:pStyle w:val="Heading3"/>
      </w:pPr>
      <w:r w:rsidRPr="00295192">
        <w:t>Unfamiliar senses</w:t>
      </w:r>
    </w:p>
    <w:p w14:paraId="5824949E" w14:textId="77777777" w:rsidR="00D91945" w:rsidRPr="00295192" w:rsidRDefault="00D91945" w:rsidP="00D91945"/>
    <w:p w14:paraId="0E664D57" w14:textId="77777777" w:rsidR="00D91945" w:rsidRPr="00295192" w:rsidRDefault="00D91945" w:rsidP="00D91945">
      <w:r w:rsidRPr="00295192">
        <w:t>Most people can confidently tell you about their experience of the ‘big five’ senses: touch, sight, hearing, smell and taste. While the sensory ethnographer does rely heavily on these commonly</w:t>
      </w:r>
      <w:r>
        <w:t xml:space="preserve"> </w:t>
      </w:r>
      <w:r w:rsidRPr="00295192">
        <w:t xml:space="preserve">understood senses, he or she should also examine other sensations that </w:t>
      </w:r>
      <w:r>
        <w:t>arise in the body</w:t>
      </w:r>
      <w:r w:rsidRPr="00295192">
        <w:t>. Consider the</w:t>
      </w:r>
      <w:r>
        <w:t xml:space="preserve"> following</w:t>
      </w:r>
      <w:r w:rsidRPr="00295192">
        <w:t xml:space="preserve"> senses, as described by philosopher Mark Paterson </w:t>
      </w:r>
      <w:r w:rsidRPr="00295192">
        <w:fldChar w:fldCharType="begin"/>
      </w:r>
      <w:r w:rsidRPr="00295192">
        <w:instrText xml:space="preserve"> ADDIN ZOTERO_ITEM CSL_CITATION {"citationID":"zybYjfj4","properties":{"formattedCitation":"(2007)","plainCitation":"(2007)","noteIndex":0},"citationItems":[{"id":32,"uris":["http://zotero.org/users/local/Nb4N2uBJ/items/YD3BU42A"],"uri":["http://zotero.org/users/local/Nb4N2uBJ/items/YD3BU42A"],"itemData":{"id":32,"type":"book","title":"The senses of touch: Haptics, affects and technologies","publisher":"Berg","publisher-place":"Oxford","event-place":"Oxford","ISBN":"978-1-84520-478-5","language":"eng","author":[{"family":"Paterson","given":"Mark"}],"issued":{"date-parts":[["2007"]]}},"suppress-author":true}],"schema":"https://github.com/citation-style-language/schema/raw/master/csl-citation.json"} </w:instrText>
      </w:r>
      <w:r w:rsidRPr="00295192">
        <w:fldChar w:fldCharType="separate"/>
      </w:r>
      <w:r w:rsidRPr="00295192">
        <w:rPr>
          <w:noProof/>
        </w:rPr>
        <w:t>(2007)</w:t>
      </w:r>
      <w:r w:rsidRPr="00295192">
        <w:fldChar w:fldCharType="end"/>
      </w:r>
      <w:r w:rsidRPr="00295192">
        <w:t>:</w:t>
      </w:r>
    </w:p>
    <w:p w14:paraId="05B1B137" w14:textId="77777777" w:rsidR="00D91945" w:rsidRPr="00295192" w:rsidRDefault="00D91945" w:rsidP="00D91945"/>
    <w:p w14:paraId="0CE83DB6" w14:textId="77777777" w:rsidR="00D91945" w:rsidRPr="00295192" w:rsidRDefault="00D91945" w:rsidP="00C23CDB">
      <w:pPr>
        <w:pStyle w:val="ListParagraph"/>
        <w:numPr>
          <w:ilvl w:val="0"/>
          <w:numId w:val="32"/>
        </w:numPr>
      </w:pPr>
      <w:r w:rsidRPr="00295192">
        <w:rPr>
          <w:i/>
          <w:iCs/>
        </w:rPr>
        <w:t>Proprioception</w:t>
      </w:r>
      <w:r w:rsidRPr="00295192">
        <w:t xml:space="preserve">, or “the body’s position felt as muscular tension” (p. 4). Imagine you are lying face-down on the ground, starting to do a push-up. The muscles in your upper back contract as you push against the </w:t>
      </w:r>
      <w:r>
        <w:t>floor</w:t>
      </w:r>
      <w:r w:rsidRPr="00295192">
        <w:t xml:space="preserve">, and the muscles in your upper arms fight against the weight of your body as your torso slowly rises. Even with your eyes closed, these sensations tell you where your body is in relation to the world </w:t>
      </w:r>
      <w:r>
        <w:t>around</w:t>
      </w:r>
      <w:r w:rsidRPr="00295192">
        <w:t xml:space="preserve"> it.</w:t>
      </w:r>
    </w:p>
    <w:p w14:paraId="44942178" w14:textId="77777777" w:rsidR="00D91945" w:rsidRPr="00295192" w:rsidRDefault="00D91945" w:rsidP="00D91945"/>
    <w:p w14:paraId="01D4D4D6" w14:textId="77777777" w:rsidR="00D91945" w:rsidRPr="00295192" w:rsidRDefault="00D91945" w:rsidP="00C23CDB">
      <w:pPr>
        <w:pStyle w:val="ListParagraph"/>
        <w:numPr>
          <w:ilvl w:val="0"/>
          <w:numId w:val="32"/>
        </w:numPr>
      </w:pPr>
      <w:proofErr w:type="spellStart"/>
      <w:r w:rsidRPr="00295192">
        <w:rPr>
          <w:i/>
          <w:iCs/>
        </w:rPr>
        <w:t>Kinaesthesia</w:t>
      </w:r>
      <w:proofErr w:type="spellEnd"/>
      <w:r w:rsidRPr="00295192">
        <w:t xml:space="preserve">, “the sense of the movement of body and limbs” (p. 4). When you </w:t>
      </w:r>
      <w:r>
        <w:t xml:space="preserve">are running, dancing, or playing a sport, you perceive the movement in your arms and legs </w:t>
      </w:r>
      <w:r>
        <w:lastRenderedPageBreak/>
        <w:t>without and visual clues to indicate that they are moving. Y</w:t>
      </w:r>
      <w:r w:rsidRPr="00295192">
        <w:t xml:space="preserve">ou </w:t>
      </w:r>
      <w:r>
        <w:t>sense</w:t>
      </w:r>
      <w:r w:rsidRPr="00295192">
        <w:t xml:space="preserve"> </w:t>
      </w:r>
      <w:r>
        <w:t xml:space="preserve">your </w:t>
      </w:r>
      <w:r w:rsidRPr="00295192">
        <w:t>muscles expand</w:t>
      </w:r>
      <w:r>
        <w:t>ing</w:t>
      </w:r>
      <w:r w:rsidRPr="00295192">
        <w:t xml:space="preserve"> and contract</w:t>
      </w:r>
      <w:r>
        <w:t>ing</w:t>
      </w:r>
      <w:r w:rsidRPr="00295192">
        <w:t xml:space="preserve"> in constant, reliable patterns</w:t>
      </w:r>
      <w:r>
        <w:t>, which you interpret as movement through space. In addition, the momentum you perceive as you speed up, stop short, or turn a corner signals to your body that your direction has changed, allowing you to perceive your bodily movement even when you are not in control of it (e.g., while riding in a car).</w:t>
      </w:r>
    </w:p>
    <w:p w14:paraId="5CF5B9DB" w14:textId="77777777" w:rsidR="00D91945" w:rsidRPr="00295192" w:rsidRDefault="00D91945" w:rsidP="00D91945"/>
    <w:p w14:paraId="59E7F587" w14:textId="77777777" w:rsidR="00D91945" w:rsidRPr="00295192" w:rsidRDefault="00D91945" w:rsidP="00C23CDB">
      <w:pPr>
        <w:pStyle w:val="ListParagraph"/>
        <w:numPr>
          <w:ilvl w:val="0"/>
          <w:numId w:val="32"/>
        </w:numPr>
      </w:pPr>
      <w:r w:rsidRPr="00295192">
        <w:rPr>
          <w:i/>
          <w:iCs/>
        </w:rPr>
        <w:t xml:space="preserve">Vestibular Sense, </w:t>
      </w:r>
      <w:r w:rsidRPr="00295192">
        <w:t xml:space="preserve">which relates </w:t>
      </w:r>
      <w:r w:rsidRPr="00295192">
        <w:rPr>
          <w:i/>
          <w:iCs/>
        </w:rPr>
        <w:t>“</w:t>
      </w:r>
      <w:r w:rsidRPr="00295192">
        <w:t xml:space="preserve">a sense of balance derived from information in the inner ear” (p. 4). If you have ever been on a boat in choppy water, you are already very familiar with the </w:t>
      </w:r>
      <w:r w:rsidRPr="00295192">
        <w:rPr>
          <w:i/>
          <w:iCs/>
        </w:rPr>
        <w:t>vestibular sense</w:t>
      </w:r>
      <w:r w:rsidRPr="00295192">
        <w:t>, which can be uniquely unsettling. Closing your eyes when you feel seasick does not make you feel better, because you still sense the up-and-down movement of the boat, even if you cannot see the rising and falling seas. Likewise, if you close your eyes while riding your bike, you will sense the moment you begin to fall off, since the body has this mechanism for determining when it is upright.</w:t>
      </w:r>
    </w:p>
    <w:p w14:paraId="32C32D43" w14:textId="77777777" w:rsidR="00D91945" w:rsidRPr="00295192" w:rsidRDefault="00D91945" w:rsidP="00D91945"/>
    <w:p w14:paraId="04AC286D" w14:textId="77777777" w:rsidR="00D91945" w:rsidRPr="00295192" w:rsidRDefault="00D91945" w:rsidP="00D91945">
      <w:r>
        <w:t xml:space="preserve">To consider the role of these other bodily senses in human action, </w:t>
      </w:r>
      <w:proofErr w:type="gramStart"/>
      <w:r>
        <w:t>t</w:t>
      </w:r>
      <w:r w:rsidRPr="00295192">
        <w:t>ake a look</w:t>
      </w:r>
      <w:proofErr w:type="gramEnd"/>
      <w:r w:rsidRPr="00295192">
        <w:t xml:space="preserve"> at this passage from Caroline Potter’s </w:t>
      </w:r>
      <w:r>
        <w:t xml:space="preserve">sensory </w:t>
      </w:r>
      <w:r w:rsidRPr="00295192">
        <w:t>ethnography of a dance studio:</w:t>
      </w:r>
    </w:p>
    <w:p w14:paraId="5B97A334" w14:textId="77777777" w:rsidR="00D91945" w:rsidRPr="00295192" w:rsidRDefault="00D91945" w:rsidP="00D91945"/>
    <w:p w14:paraId="635CF847" w14:textId="77777777" w:rsidR="00D91945" w:rsidRPr="00295192" w:rsidRDefault="00D91945" w:rsidP="00D91945">
      <w:pPr>
        <w:pStyle w:val="Quote"/>
      </w:pPr>
      <w:r w:rsidRPr="00295192">
        <w:t>Phrases employed by contemporary dance instructors such as ‘melt into the floor’, ‘feel the weight of the head’, and ‘anchor the [heavy] pelvis into the ground’ prompted students to bring the body’s relationship with gravity to explicit attention. A focal point for this attention was ‘the center’, a conceptual area of the torso where the dancing body’s ‘connected’ movements are meant to originate. In classical ballet the center is indicated in the region of the rib cage and is used for ‘pulling up’, the action of lifting the upper torso away from the pelvis to give the appearance of lightness in the upper body, creating an ethereal quality to the movement. In contrast, contemporary dancers tend to indicate a lower position of the center, in the region of the pelvis, which translates to movement qualities of ‘weight’ and ‘</w:t>
      </w:r>
      <w:proofErr w:type="spellStart"/>
      <w:r w:rsidRPr="00295192">
        <w:t>groundedness</w:t>
      </w:r>
      <w:proofErr w:type="spellEnd"/>
      <w:r w:rsidRPr="00295192">
        <w:t xml:space="preserve">’ </w:t>
      </w:r>
      <w:r w:rsidRPr="00295192">
        <w:fldChar w:fldCharType="begin"/>
      </w:r>
      <w:r w:rsidRPr="00295192">
        <w:instrText xml:space="preserve"> ADDIN ZOTERO_ITEM CSL_CITATION {"citationID":"u2dsy7bJ","properties":{"formattedCitation":"(Potter, 2008, p. 450; edited for American spelling)","plainCitation":"(Potter, 2008, p. 450; edited for American spelling)","noteIndex":0},"citationItems":[{"id":3146,"uris":["http://zotero.org/users/local/Nb4N2uBJ/items/U877FZ5L"],"uri":["http://zotero.org/users/local/Nb4N2uBJ/items/U877FZ5L"],"itemData":{"id":3146,"type":"article-journal","title":"Sense of Motion, Senses of Self: Becoming a Dancer","container-title":"Ethnos","page":"444–465","volume":"73","issue":"4","abstract":"In spite of growing interest in the anthropology of the senses, the majority of literature has focused on the Euro-American ‘classic five’ senses of sight, sound, smell, taste, and touch at the expense of other equally viable senses such as heat, pain, and kinaesthesia. Through ethnographic description of a professional dance training programme in which I actively participated, I argue that developing a heightened sense of kinaesthesia (felt bodily movement) is a means of becoming socialized into the professional dance community. Far from an isolated sense with discreet biological pathways, kinaesthesia requires parallelperception through multiple sensory modesincluding heat and touch. A focus on kinaesthesia therefore contributes to an understanding of the senses as a cohesive phenomenological complex that engenders an interconnected, bodily-grounded sense of cultural identity.","ISSN":"0014-1844","author":[{"family":"Potter","given":"Caroline"}],"issued":{"date-parts":[["2008",12]]}},"locator":"450","suffix":"; edited for American spelling"}],"schema":"https://github.com/citation-style-language/schema/raw/master/csl-citation.json"} </w:instrText>
      </w:r>
      <w:r w:rsidRPr="00295192">
        <w:fldChar w:fldCharType="separate"/>
      </w:r>
      <w:r w:rsidRPr="00295192">
        <w:t>(Potter, 2008, p. 450; edited for American spelling)</w:t>
      </w:r>
      <w:r w:rsidRPr="00295192">
        <w:fldChar w:fldCharType="end"/>
      </w:r>
      <w:r w:rsidRPr="00295192">
        <w:t>.</w:t>
      </w:r>
    </w:p>
    <w:p w14:paraId="00AD9556" w14:textId="77777777" w:rsidR="00D91945" w:rsidRPr="00295192" w:rsidRDefault="00D91945" w:rsidP="00D91945"/>
    <w:p w14:paraId="1E46BA0B" w14:textId="77777777" w:rsidR="00D91945" w:rsidRPr="00295192" w:rsidRDefault="00D91945" w:rsidP="00D91945">
      <w:r w:rsidRPr="00295192">
        <w:t>Which senses do you recognize Potter relying upon, outside of the ‘classic five’?</w:t>
      </w:r>
    </w:p>
    <w:p w14:paraId="1A5BFB83" w14:textId="77777777" w:rsidR="00D91945" w:rsidRPr="00295192" w:rsidRDefault="00D91945" w:rsidP="00D91945"/>
    <w:p w14:paraId="55CC8274" w14:textId="77777777" w:rsidR="00D91945" w:rsidRPr="00295192" w:rsidRDefault="00D91945" w:rsidP="00D91945">
      <w:pPr>
        <w:pStyle w:val="Heading2"/>
      </w:pPr>
      <w:r w:rsidRPr="00295192">
        <w:t>Whose senses?</w:t>
      </w:r>
    </w:p>
    <w:p w14:paraId="4BADE69C" w14:textId="77777777" w:rsidR="00D91945" w:rsidRPr="00295192" w:rsidRDefault="00D91945" w:rsidP="00605712">
      <w:pPr>
        <w:ind w:firstLine="720"/>
        <w:rPr>
          <w:i/>
          <w:iCs/>
        </w:rPr>
      </w:pPr>
      <w:r w:rsidRPr="00295192">
        <w:t xml:space="preserve">As you may have noticed from the </w:t>
      </w:r>
      <w:r>
        <w:t xml:space="preserve">ethnographies </w:t>
      </w:r>
      <w:r w:rsidRPr="00295192">
        <w:t xml:space="preserve">quoted above, there are two main ways to conduct a sensory-ethnographic observation. The first way is to closely examine your own experience of your body, normally while conducting </w:t>
      </w:r>
      <w:proofErr w:type="gramStart"/>
      <w:r w:rsidRPr="00295192">
        <w:t xml:space="preserve">some </w:t>
      </w:r>
      <w:r>
        <w:t xml:space="preserve"> kind</w:t>
      </w:r>
      <w:proofErr w:type="gramEnd"/>
      <w:r>
        <w:t xml:space="preserve"> of</w:t>
      </w:r>
      <w:r w:rsidRPr="00295192">
        <w:t xml:space="preserve"> culturally situated practice; we can call that </w:t>
      </w:r>
      <w:r w:rsidRPr="00295192">
        <w:rPr>
          <w:i/>
          <w:iCs/>
        </w:rPr>
        <w:t xml:space="preserve">sensory introspection. </w:t>
      </w:r>
      <w:r w:rsidRPr="00295192">
        <w:t xml:space="preserve">The second way is to ask someone else to describe their sensory experience to you, which is called </w:t>
      </w:r>
      <w:r w:rsidRPr="00295192">
        <w:rPr>
          <w:i/>
          <w:iCs/>
        </w:rPr>
        <w:t>sensory-ethnographic interview.</w:t>
      </w:r>
    </w:p>
    <w:p w14:paraId="718A8F92" w14:textId="77777777" w:rsidR="00605712" w:rsidRDefault="00605712" w:rsidP="00D91945">
      <w:pPr>
        <w:pStyle w:val="Heading3"/>
      </w:pPr>
    </w:p>
    <w:p w14:paraId="6974CB81" w14:textId="53334929" w:rsidR="00D91945" w:rsidRPr="00295192" w:rsidRDefault="00D91945" w:rsidP="00D91945">
      <w:pPr>
        <w:pStyle w:val="Heading3"/>
      </w:pPr>
      <w:r w:rsidRPr="00295192">
        <w:t>Sensory introspection</w:t>
      </w:r>
    </w:p>
    <w:p w14:paraId="3E4C3E5B" w14:textId="77777777" w:rsidR="00D91945" w:rsidRPr="00295192" w:rsidRDefault="00D91945" w:rsidP="00605712">
      <w:pPr>
        <w:ind w:firstLine="720"/>
      </w:pPr>
      <w:r w:rsidRPr="00295192">
        <w:t xml:space="preserve">Introspection has a long history in psychology, where it was a popular research method until the beginning of the twentieth century </w:t>
      </w:r>
      <w:r w:rsidRPr="00295192">
        <w:fldChar w:fldCharType="begin"/>
      </w:r>
      <w:r w:rsidRPr="00295192">
        <w:instrText xml:space="preserve"> ADDIN ZOTERO_ITEM CSL_CITATION {"citationID":"JT3uALfa","properties":{"formattedCitation":"(Titchener, 1987)","plainCitation":"(Titchener, 1987)","noteIndex":0},"citationItems":[{"id":1263,"uris":["http://zotero.org/users/local/Nb4N2uBJ/items/JJLK9UER"],"uri":["http://zotero.org/users/local/Nb4N2uBJ/items/JJLK9UER"],"itemData":{"id":1263,"type":"article-journal","title":"Introspection","container-title":"The American Journal of Psychology","page":"705-707","volume":"100","issue":"3/4","DOI":"10.1177/036354657800600604","author":[{"family":"Titchener","given":"E. B."}],"issued":{"date-parts":[["1987"]]}}}],"schema":"https://github.com/citation-style-language/schema/raw/master/csl-citation.json"} </w:instrText>
      </w:r>
      <w:r w:rsidRPr="00295192">
        <w:fldChar w:fldCharType="separate"/>
      </w:r>
      <w:r w:rsidRPr="00295192">
        <w:rPr>
          <w:noProof/>
        </w:rPr>
        <w:t>(Titchener, 1987)</w:t>
      </w:r>
      <w:r w:rsidRPr="00295192">
        <w:fldChar w:fldCharType="end"/>
      </w:r>
      <w:r w:rsidRPr="00295192">
        <w:t xml:space="preserve">. Eventually, introspection was abandoned by psychologists in favor of observational experiments, which were thought to be better at demonstrating cause-and-effect relationships </w:t>
      </w:r>
      <w:r w:rsidRPr="00295192">
        <w:fldChar w:fldCharType="begin"/>
      </w:r>
      <w:r w:rsidRPr="00295192">
        <w:instrText xml:space="preserve"> ADDIN ZOTERO_ITEM CSL_CITATION {"citationID":"rtaoUCC6","properties":{"formattedCitation":"(Locke, 2009)","plainCitation":"(Locke, 2009)","noteIndex":0},"citationItems":[{"id":1006,"uris":["http://zotero.org/users/local/Nb4N2uBJ/items/9LXX834K"],"uri":["http://zotero.org/users/local/Nb4N2uBJ/items/9LXX834K"],"itemData":{"id":1006,"type":"article-journal","title":"It's Time We Brought Introspection Out of the Closet","container-title":"Perspectives on Psychological Science","page":"24-25","volume":"4","issue":"1","abstract":"I identify the main reasons why introspection unofficially has been banned from the field for some 100 years, though it has been partly smuggled back in through the use of \"verbal (self-) reports.\" I then show why introspection is indispensable to psychology. I argue that this ban has retarded the progress of psychology by taking attention away from the problem of the accuracy of self-reports, limiting our understanding of concepts like emotion, discouraging psychologists from using introspection themselves, and ignoring the study of how to develop introspective skill. I conclude by suggesting some approaches to validating introspective reports.","DOI":"10.1111/j.1745-6924.2009.01090.x","ISSN":"1745-6924","author":[{"family":"Locke","given":"Edwin A."}],"issued":{"date-parts":[["2009"]]}}}],"schema":"https://github.com/citation-style-language/schema/raw/master/csl-citation.json"} </w:instrText>
      </w:r>
      <w:r w:rsidRPr="00295192">
        <w:fldChar w:fldCharType="separate"/>
      </w:r>
      <w:r w:rsidRPr="00295192">
        <w:rPr>
          <w:noProof/>
        </w:rPr>
        <w:t>(Locke, 2009)</w:t>
      </w:r>
      <w:r w:rsidRPr="00295192">
        <w:fldChar w:fldCharType="end"/>
      </w:r>
      <w:r w:rsidRPr="00295192">
        <w:t xml:space="preserve">. As ethnographers, however, we are not primarily concerned with discovering hard and fast laws that govern human behavior, as </w:t>
      </w:r>
      <w:r>
        <w:t xml:space="preserve">many </w:t>
      </w:r>
      <w:r w:rsidRPr="00295192">
        <w:t xml:space="preserve">psychologists are. Instead, we are interested in exploring the nuances </w:t>
      </w:r>
      <w:r w:rsidRPr="00295192">
        <w:lastRenderedPageBreak/>
        <w:t xml:space="preserve">of human experience and the intersection between experience and culture. </w:t>
      </w:r>
      <w:proofErr w:type="gramStart"/>
      <w:r w:rsidRPr="00295192">
        <w:t>As a consequence</w:t>
      </w:r>
      <w:proofErr w:type="gramEnd"/>
      <w:r w:rsidRPr="00295192">
        <w:t>, introspection is</w:t>
      </w:r>
      <w:r>
        <w:t xml:space="preserve"> still</w:t>
      </w:r>
      <w:r w:rsidRPr="00295192">
        <w:t xml:space="preserve"> well-suited to ethnographic investigation.</w:t>
      </w:r>
    </w:p>
    <w:p w14:paraId="585A5D68" w14:textId="77777777" w:rsidR="00D91945" w:rsidRPr="00295192" w:rsidRDefault="00D91945" w:rsidP="00605712">
      <w:pPr>
        <w:ind w:firstLine="720"/>
      </w:pPr>
      <w:proofErr w:type="gramStart"/>
      <w:r w:rsidRPr="00295192">
        <w:t>So</w:t>
      </w:r>
      <w:proofErr w:type="gramEnd"/>
      <w:r w:rsidRPr="00295192">
        <w:t xml:space="preserve"> what exactly is introspection? Think of it as simply reflecting on the sensations that arise in your body – how they feel, where they come from, and what they mean. Imagine doing a sensory ethnography of learning to ride a bike. At first, you would probably experience an unintelligible storm of sensations</w:t>
      </w:r>
      <w:r>
        <w:t xml:space="preserve"> as you</w:t>
      </w:r>
      <w:r w:rsidRPr="00295192">
        <w:t xml:space="preserve"> twist your handlebars back and forth until you </w:t>
      </w:r>
      <w:r>
        <w:t>fall</w:t>
      </w:r>
      <w:r w:rsidRPr="00295192">
        <w:t xml:space="preserve"> over. As you start to get the hang of it, however, you take note of </w:t>
      </w:r>
      <w:proofErr w:type="gramStart"/>
      <w:r w:rsidRPr="00295192">
        <w:t>particular sensations</w:t>
      </w:r>
      <w:proofErr w:type="gramEnd"/>
      <w:r>
        <w:t xml:space="preserve"> and relate them to different outcomes in performance</w:t>
      </w:r>
      <w:r w:rsidRPr="00295192">
        <w:t xml:space="preserve">. You </w:t>
      </w:r>
      <w:r>
        <w:t xml:space="preserve">might </w:t>
      </w:r>
      <w:r w:rsidRPr="00295192">
        <w:t xml:space="preserve">notice that you are much less wobbly at higher speeds, as if the bike starts to pull you upright as you go faster. You </w:t>
      </w:r>
      <w:r>
        <w:t xml:space="preserve">may </w:t>
      </w:r>
      <w:r w:rsidRPr="00295192">
        <w:t>notice that when you turn to one side or the other, the momentum in your body tries to carry you forward, and you need to lean into the turn</w:t>
      </w:r>
      <w:r>
        <w:t xml:space="preserve"> to stay on the bike</w:t>
      </w:r>
      <w:r w:rsidRPr="00295192">
        <w:t xml:space="preserve">. You </w:t>
      </w:r>
      <w:r>
        <w:t>could</w:t>
      </w:r>
      <w:r w:rsidRPr="00295192">
        <w:t xml:space="preserve"> even notice that pressing the brakes too hard suddenly pushes all your weight forward, </w:t>
      </w:r>
      <w:r>
        <w:t>causing</w:t>
      </w:r>
      <w:r w:rsidRPr="00295192">
        <w:t xml:space="preserve"> you </w:t>
      </w:r>
      <w:r>
        <w:t xml:space="preserve">to </w:t>
      </w:r>
      <w:r w:rsidRPr="00295192">
        <w:t xml:space="preserve">feel yourself sailing over the handlebars and through the air – until, of course, you feel </w:t>
      </w:r>
      <w:r>
        <w:t>the texture of the</w:t>
      </w:r>
      <w:r w:rsidRPr="00295192">
        <w:t xml:space="preserve"> pavement</w:t>
      </w:r>
      <w:r>
        <w:t xml:space="preserve"> as it makes contact with your body.</w:t>
      </w:r>
    </w:p>
    <w:p w14:paraId="26721338" w14:textId="77777777" w:rsidR="00D91945" w:rsidRPr="00295192" w:rsidRDefault="00D91945" w:rsidP="00605712">
      <w:pPr>
        <w:ind w:firstLine="720"/>
      </w:pPr>
      <w:proofErr w:type="gramStart"/>
      <w:r w:rsidRPr="00295192">
        <w:t>All of</w:t>
      </w:r>
      <w:proofErr w:type="gramEnd"/>
      <w:r w:rsidRPr="00295192">
        <w:t xml:space="preserve"> the thoughts that you recorded in your ethnography of riding a bicycle are introspective, in that they record your </w:t>
      </w:r>
      <w:r>
        <w:t>first-person</w:t>
      </w:r>
      <w:r w:rsidRPr="00295192">
        <w:t xml:space="preserve"> </w:t>
      </w:r>
      <w:r>
        <w:t>bodily</w:t>
      </w:r>
      <w:r w:rsidRPr="00295192">
        <w:t xml:space="preserve"> experience. This kind of sensory auto-ethnography comes naturally when you are learning something new, since you are </w:t>
      </w:r>
      <w:r>
        <w:t xml:space="preserve">already </w:t>
      </w:r>
      <w:r w:rsidRPr="00295192">
        <w:t xml:space="preserve">listening very intently to your body </w:t>
      </w:r>
      <w:r>
        <w:t>and relating new sensations to the performance of the task at hand</w:t>
      </w:r>
      <w:r w:rsidRPr="00295192">
        <w:t xml:space="preserve">. Sports, dance, and craft skills are all great topics for introspective ethnography, since they require you to spend a lot of time focused on sensations </w:t>
      </w:r>
      <w:r>
        <w:t>in your body</w:t>
      </w:r>
      <w:r w:rsidRPr="00295192">
        <w:t xml:space="preserve"> </w:t>
      </w:r>
      <w:r>
        <w:t>and their relationship to the goals you are trying to achieve</w:t>
      </w:r>
      <w:r w:rsidRPr="00295192">
        <w:t>.</w:t>
      </w:r>
      <w:r>
        <w:t xml:space="preserve"> While experiencing these new sensations comes naturally, though, capturing them in language presents a more difficult challenge. </w:t>
      </w:r>
      <w:r w:rsidRPr="00295192">
        <w:t>What did it feel like when you first fell off the bike</w:t>
      </w:r>
      <w:r>
        <w:t>, versus</w:t>
      </w:r>
      <w:r w:rsidRPr="00295192">
        <w:t xml:space="preserve"> when you fell off it</w:t>
      </w:r>
      <w:r>
        <w:t xml:space="preserve"> for</w:t>
      </w:r>
      <w:r w:rsidRPr="00295192">
        <w:t xml:space="preserve"> the tenth time? Did you have time to reflect on the feeling of your body in space as you were falling, or were you too busy worrying about hitting the ground? Are you able to reflect on these experiences in the past, or are they clouded by the passage of time?</w:t>
      </w:r>
    </w:p>
    <w:p w14:paraId="2ABA4EBA" w14:textId="77777777" w:rsidR="00D91945" w:rsidRPr="00295192" w:rsidRDefault="00D91945" w:rsidP="00605712">
      <w:pPr>
        <w:ind w:firstLine="360"/>
      </w:pPr>
      <w:r w:rsidRPr="00295192">
        <w:t>At the beginning of this section, it was noted that psychologists rarely use introspective methods these days because they are not considered adequately reliable. While questions</w:t>
      </w:r>
      <w:r>
        <w:t xml:space="preserve"> of reliability</w:t>
      </w:r>
      <w:r w:rsidRPr="00295192">
        <w:t xml:space="preserve"> are less pressing for ethnographers, given </w:t>
      </w:r>
      <w:r>
        <w:t>the relative</w:t>
      </w:r>
      <w:r w:rsidRPr="00295192">
        <w:t xml:space="preserve"> emphasis on interpretation over objectivity, you will still need to </w:t>
      </w:r>
      <w:r>
        <w:t>convince</w:t>
      </w:r>
      <w:r w:rsidRPr="00295192">
        <w:t xml:space="preserve"> the reader </w:t>
      </w:r>
      <w:r>
        <w:t>that</w:t>
      </w:r>
      <w:r w:rsidRPr="00295192">
        <w:t xml:space="preserve"> you really felt what you say you felt. Providing ‘evidence’ of sensory experience is nearly impossible, but you can put your readers at ease by taking these factors, as explained by Lincoln and Guba </w:t>
      </w:r>
      <w:r w:rsidRPr="00295192">
        <w:fldChar w:fldCharType="begin"/>
      </w:r>
      <w:r w:rsidRPr="00295192">
        <w:instrText xml:space="preserve"> ADDIN ZOTERO_ITEM CSL_CITATION {"citationID":"SOdDl1Df","properties":{"formattedCitation":"(1985)","plainCitation":"(1985)","noteIndex":0},"citationItems":[{"id":2272,"uris":["http://zotero.org/users/local/Nb4N2uBJ/items/5FI3PCNV"],"uri":["http://zotero.org/users/local/Nb4N2uBJ/items/5FI3PCNV"],"itemData":{"id":2272,"type":"book","title":"Naturalistic inquiry","publisher":"Sage","publisher-place":"Newbury Park, CA","event-place":"Newbury Park, CA","language":"eng","author":[{"family":"Lincoln","given":"Yvonna S"},{"family":"Guba","given":"Egon G"}],"issued":{"date-parts":[["1985"]]}},"suppress-author":true}],"schema":"https://github.com/citation-style-language/schema/raw/master/csl-citation.json"} </w:instrText>
      </w:r>
      <w:r w:rsidRPr="00295192">
        <w:fldChar w:fldCharType="separate"/>
      </w:r>
      <w:r w:rsidRPr="00295192">
        <w:rPr>
          <w:noProof/>
        </w:rPr>
        <w:t>(1985)</w:t>
      </w:r>
      <w:r w:rsidRPr="00295192">
        <w:fldChar w:fldCharType="end"/>
      </w:r>
      <w:r w:rsidRPr="00295192">
        <w:t>, into account:</w:t>
      </w:r>
    </w:p>
    <w:p w14:paraId="486AF7A8" w14:textId="77777777" w:rsidR="00D91945" w:rsidRPr="00295192" w:rsidRDefault="00D91945" w:rsidP="00D91945"/>
    <w:p w14:paraId="4AABD550" w14:textId="77777777" w:rsidR="00D91945" w:rsidRPr="00295192" w:rsidRDefault="00D91945" w:rsidP="00C23CDB">
      <w:pPr>
        <w:pStyle w:val="ListParagraph"/>
        <w:numPr>
          <w:ilvl w:val="0"/>
          <w:numId w:val="33"/>
        </w:numPr>
      </w:pPr>
      <w:r w:rsidRPr="00295192">
        <w:rPr>
          <w:i/>
          <w:iCs/>
        </w:rPr>
        <w:t xml:space="preserve">Credibility: </w:t>
      </w:r>
      <w:r w:rsidRPr="00295192">
        <w:t xml:space="preserve">Show the reader that you did everything necessary to support credible observations of your own experience. If you are writing about learning ballet, your results are unlikely to seem credible if you only attend one dance class; make sure to attend as many sessions as it takes for you to really ‘get a feel’ for the activity. </w:t>
      </w:r>
    </w:p>
    <w:p w14:paraId="3D234829" w14:textId="77777777" w:rsidR="00D91945" w:rsidRPr="00295192" w:rsidRDefault="00D91945" w:rsidP="00D91945">
      <w:pPr>
        <w:pStyle w:val="ListParagraph"/>
      </w:pPr>
    </w:p>
    <w:p w14:paraId="0D942E88" w14:textId="77777777" w:rsidR="00D91945" w:rsidRPr="00295192" w:rsidRDefault="00D91945" w:rsidP="00C23CDB">
      <w:pPr>
        <w:pStyle w:val="ListParagraph"/>
        <w:numPr>
          <w:ilvl w:val="0"/>
          <w:numId w:val="33"/>
        </w:numPr>
        <w:rPr>
          <w:i/>
          <w:iCs/>
        </w:rPr>
      </w:pPr>
      <w:r w:rsidRPr="00295192">
        <w:rPr>
          <w:i/>
          <w:iCs/>
        </w:rPr>
        <w:t xml:space="preserve">Dependability: </w:t>
      </w:r>
      <w:r w:rsidRPr="00295192">
        <w:t>Make sure to be specific about how you recorded your experience, from start to finish. If you took notes, tell the reader when and how, and explain whether you suspect your memory of the experience changed between when it happened and when you wrote it down. The better your reader can follow your process of documentation and analysis, the more dependable your work will appear.</w:t>
      </w:r>
    </w:p>
    <w:p w14:paraId="08C9BE86" w14:textId="77777777" w:rsidR="00D91945" w:rsidRPr="00295192" w:rsidRDefault="00D91945" w:rsidP="00D91945">
      <w:pPr>
        <w:pStyle w:val="ListParagraph"/>
      </w:pPr>
    </w:p>
    <w:p w14:paraId="3E9EC71D" w14:textId="77777777" w:rsidR="00D91945" w:rsidRPr="00295192" w:rsidRDefault="00D91945" w:rsidP="00C23CDB">
      <w:pPr>
        <w:pStyle w:val="ListParagraph"/>
        <w:numPr>
          <w:ilvl w:val="0"/>
          <w:numId w:val="33"/>
        </w:numPr>
      </w:pPr>
      <w:r w:rsidRPr="00295192">
        <w:rPr>
          <w:i/>
          <w:iCs/>
        </w:rPr>
        <w:lastRenderedPageBreak/>
        <w:t>Confirmability</w:t>
      </w:r>
      <w:r w:rsidRPr="00295192">
        <w:t xml:space="preserve">: Is your sensory-ethnographic study something that other people could repeat? Something very common, like learning to throw clay pots, is an excellent topic for a sensory ethnography, since many readers will be able to confirm that you were likely to have felt what you report feeling. </w:t>
      </w:r>
    </w:p>
    <w:p w14:paraId="6C49725B" w14:textId="77777777" w:rsidR="00D91945" w:rsidRPr="00295192" w:rsidRDefault="00D91945" w:rsidP="00D91945"/>
    <w:p w14:paraId="58B5108E" w14:textId="77777777" w:rsidR="00D91945" w:rsidRPr="00295192" w:rsidRDefault="00D91945" w:rsidP="00D91945">
      <w:pPr>
        <w:pStyle w:val="Heading3"/>
      </w:pPr>
      <w:r w:rsidRPr="00295192">
        <w:t>Sensory-ethnographic interview</w:t>
      </w:r>
    </w:p>
    <w:p w14:paraId="4EE0808A" w14:textId="77777777" w:rsidR="00D91945" w:rsidRPr="00295192" w:rsidRDefault="00D91945" w:rsidP="00605712">
      <w:pPr>
        <w:ind w:firstLine="720"/>
        <w:rPr>
          <w:b/>
          <w:bCs/>
        </w:rPr>
      </w:pPr>
      <w:r w:rsidRPr="00295192">
        <w:t xml:space="preserve">Sensory-ethnographic interviewing is, as you </w:t>
      </w:r>
      <w:r>
        <w:t>may have</w:t>
      </w:r>
      <w:r w:rsidRPr="00295192">
        <w:t xml:space="preserve"> guessed, interviewing other people about their sensory experience. In a way, sensory interviews are easier </w:t>
      </w:r>
      <w:r>
        <w:t xml:space="preserve">to conduct </w:t>
      </w:r>
      <w:r w:rsidRPr="00295192">
        <w:t xml:space="preserve">than sensory introspection, since you do not need to interpret the sensations arising in your own body, </w:t>
      </w:r>
      <w:r>
        <w:t xml:space="preserve">which can be </w:t>
      </w:r>
      <w:r w:rsidRPr="00295192">
        <w:t>a tricky task. On the other hand, sensory interviews just push this problem of introspection onto another person, who is much less likely to have though</w:t>
      </w:r>
      <w:r>
        <w:t>t</w:t>
      </w:r>
      <w:r w:rsidRPr="00295192">
        <w:t xml:space="preserve"> through all of the prickly questions around sensory ethnography in the level of detail that you have (once you have finished this chapter</w:t>
      </w:r>
      <w:r>
        <w:t>, that is</w:t>
      </w:r>
      <w:r w:rsidRPr="00295192">
        <w:t>).</w:t>
      </w:r>
    </w:p>
    <w:p w14:paraId="1D4B6BD7" w14:textId="77777777" w:rsidR="00D91945" w:rsidRPr="00295192" w:rsidRDefault="00D91945" w:rsidP="00605712">
      <w:pPr>
        <w:ind w:firstLine="720"/>
      </w:pPr>
      <w:r w:rsidRPr="00295192">
        <w:t xml:space="preserve">The key to a successful sensory-ethnographic interview, </w:t>
      </w:r>
      <w:r>
        <w:t>as with</w:t>
      </w:r>
      <w:r w:rsidRPr="00295192">
        <w:t xml:space="preserve"> </w:t>
      </w:r>
      <w:r>
        <w:t xml:space="preserve">all </w:t>
      </w:r>
      <w:r w:rsidRPr="00295192">
        <w:t xml:space="preserve">interviews, is preparation. Begin by thinking hard about the questions you want to include on your interview schedule. If you are asking a potter what it feels like to throw pots, the question “What does it feel like to throw pots?” is not going to cut it; your interviewee will undoubtedly be confused, and give you a </w:t>
      </w:r>
      <w:r>
        <w:t>vague</w:t>
      </w:r>
      <w:r w:rsidRPr="00295192">
        <w:t xml:space="preserve"> answer (e.g., “It feels great!”). You might start instead by asking about the steps in the process, having the person narrate the construction of pottery from start to finish. At each step of their description, ask specific probing questions, exploring what movements they use to achieve different goals. Once your conversation reaches that level of specificity, you can start to ask questions about sensation, like asking how the potter knows the clay </w:t>
      </w:r>
      <w:r>
        <w:t xml:space="preserve">is </w:t>
      </w:r>
      <w:r w:rsidRPr="00295192">
        <w:t xml:space="preserve">mixed </w:t>
      </w:r>
      <w:r>
        <w:t xml:space="preserve">well </w:t>
      </w:r>
      <w:r w:rsidRPr="00295192">
        <w:t xml:space="preserve">enough </w:t>
      </w:r>
      <w:r>
        <w:t>that it is</w:t>
      </w:r>
      <w:r w:rsidRPr="00295192">
        <w:t xml:space="preserve"> ready to work. Finally, do not discount responses that initially seem disappointing</w:t>
      </w:r>
      <w:r>
        <w:t>.</w:t>
      </w:r>
      <w:r w:rsidRPr="00295192">
        <w:t xml:space="preserve"> </w:t>
      </w:r>
      <w:r>
        <w:t>I</w:t>
      </w:r>
      <w:r w:rsidRPr="00295192">
        <w:t>f someone tells you “I just know</w:t>
      </w:r>
      <w:r>
        <w:t xml:space="preserve"> –</w:t>
      </w:r>
      <w:r w:rsidRPr="00295192">
        <w:t xml:space="preserve"> that’s how it feels</w:t>
      </w:r>
      <w:r>
        <w:t xml:space="preserve"> to me</w:t>
      </w:r>
      <w:r w:rsidRPr="00295192">
        <w:t>”, write this down and think of how to probe it more deeply in a follow-up interview.</w:t>
      </w:r>
    </w:p>
    <w:p w14:paraId="280E0D7E" w14:textId="77777777" w:rsidR="00D91945" w:rsidRPr="00295192" w:rsidRDefault="00D91945" w:rsidP="00605712">
      <w:pPr>
        <w:ind w:firstLine="720"/>
      </w:pPr>
      <w:r w:rsidRPr="00295192">
        <w:t xml:space="preserve">Sarah Pink </w:t>
      </w:r>
      <w:r w:rsidRPr="00295192">
        <w:fldChar w:fldCharType="begin"/>
      </w:r>
      <w:r w:rsidRPr="00295192">
        <w:instrText xml:space="preserve"> ADDIN ZOTERO_ITEM CSL_CITATION {"citationID":"865tbHaJ","properties":{"formattedCitation":"(2009)","plainCitation":"(2009)","noteIndex":0},"citationItems":[{"id":1132,"uris":["http://zotero.org/users/local/Nb4N2uBJ/items/NE5KRMZD"],"uri":["http://zotero.org/users/local/Nb4N2uBJ/items/NE5KRMZD"],"itemData":{"id":1132,"type":"book","title":"Doing Sensory Ethnography","publisher":"Sage","publisher-place":"London","event-place":"London","ISBN":"978-1-4129-4803-6","author":[{"family":"Pink","given":"Sarah"}],"issued":{"date-parts":[["2009"]]}},"suppress-author":true}],"schema":"https://github.com/citation-style-language/schema/raw/master/csl-citation.json"} </w:instrText>
      </w:r>
      <w:r w:rsidRPr="00295192">
        <w:fldChar w:fldCharType="separate"/>
      </w:r>
      <w:r w:rsidRPr="00295192">
        <w:rPr>
          <w:noProof/>
        </w:rPr>
        <w:t>(2009)</w:t>
      </w:r>
      <w:r w:rsidRPr="00295192">
        <w:fldChar w:fldCharType="end"/>
      </w:r>
      <w:r w:rsidRPr="00295192">
        <w:t xml:space="preserve"> suggests conducting sensory-ethnographic interviews while doing the same activity that your interviewee is describing, as this</w:t>
      </w:r>
      <w:r>
        <w:t xml:space="preserve"> co-participation</w:t>
      </w:r>
      <w:r w:rsidRPr="00295192">
        <w:t xml:space="preserve"> ensures that the experience </w:t>
      </w:r>
      <w:r>
        <w:t>will be</w:t>
      </w:r>
      <w:r w:rsidRPr="00295192">
        <w:t xml:space="preserve"> fresh in the person’s mind. Furthermore, by participating alongside the interviewee, you are given a frame of reference for understanding what </w:t>
      </w:r>
      <w:r>
        <w:t>he or she is</w:t>
      </w:r>
      <w:r w:rsidRPr="00295192">
        <w:t xml:space="preserve"> </w:t>
      </w:r>
      <w:r>
        <w:t>describing</w:t>
      </w:r>
      <w:r w:rsidRPr="00295192">
        <w:t>; in Pink’s example of riding bicycles together with the person you are interviewing (p. 85)</w:t>
      </w:r>
      <w:r>
        <w:t>,</w:t>
      </w:r>
      <w:r w:rsidRPr="00295192">
        <w:t xml:space="preserve"> it is easy to imagine the interviewee pointing to parts of your bike</w:t>
      </w:r>
      <w:r>
        <w:t xml:space="preserve"> as you both ride along</w:t>
      </w:r>
      <w:r w:rsidRPr="00295192">
        <w:t>, or telling you to pay attention to certain sensory experiences</w:t>
      </w:r>
      <w:r>
        <w:t xml:space="preserve"> that they recognize as important</w:t>
      </w:r>
      <w:r w:rsidRPr="00295192">
        <w:t>. Just remember to be careful in whatever you are doing – if you are a novice and the interviewee is an expert in whatever activity you have chosen to study, make sure you can safely keep up</w:t>
      </w:r>
      <w:r>
        <w:t>!</w:t>
      </w:r>
    </w:p>
    <w:p w14:paraId="3E2869D3" w14:textId="77777777" w:rsidR="00D91945" w:rsidRPr="00295192" w:rsidRDefault="00D91945" w:rsidP="00D91945"/>
    <w:p w14:paraId="2F708F55" w14:textId="77777777" w:rsidR="00D91945" w:rsidRPr="00295192" w:rsidRDefault="00D91945" w:rsidP="00D91945">
      <w:pPr>
        <w:pStyle w:val="Heading2"/>
      </w:pPr>
      <w:r w:rsidRPr="00295192">
        <w:t>Sensory research topics in the world</w:t>
      </w:r>
      <w:r>
        <w:t xml:space="preserve"> of work</w:t>
      </w:r>
    </w:p>
    <w:p w14:paraId="468C0D78" w14:textId="77777777" w:rsidR="00D91945" w:rsidRPr="00295192" w:rsidRDefault="00D91945" w:rsidP="00605712">
      <w:pPr>
        <w:ind w:firstLine="419"/>
      </w:pPr>
      <w:r w:rsidRPr="00295192">
        <w:t xml:space="preserve">Now that you have a handle on what sensory ethnography is, you might be asking yourself what it has to do with </w:t>
      </w:r>
      <w:r>
        <w:t>an</w:t>
      </w:r>
      <w:r w:rsidRPr="00295192">
        <w:t xml:space="preserve"> </w:t>
      </w:r>
      <w:r w:rsidRPr="00295192">
        <w:rPr>
          <w:i/>
          <w:iCs/>
        </w:rPr>
        <w:t>Ethnographies of Work</w:t>
      </w:r>
      <w:r w:rsidRPr="00295192">
        <w:t xml:space="preserve"> course. Most likely, your study of the world of work will not involve riding a bicycle or doing ballet. But work, no matter what kind, always involves the human body in one way or another, and your ethnographies will be improved by asking how the senses are engaged within the workplace. Take the following research topics </w:t>
      </w:r>
      <w:r>
        <w:t>as</w:t>
      </w:r>
      <w:r w:rsidRPr="00295192">
        <w:t xml:space="preserve"> examples of how sensory ethnography can illuminate a study of work:</w:t>
      </w:r>
    </w:p>
    <w:p w14:paraId="05ED88BE" w14:textId="77777777" w:rsidR="00D91945" w:rsidRPr="00295192" w:rsidRDefault="00D91945" w:rsidP="00D91945"/>
    <w:p w14:paraId="04A393D4" w14:textId="77777777" w:rsidR="00D91945" w:rsidRPr="00295192" w:rsidRDefault="00D91945" w:rsidP="00C23CDB">
      <w:pPr>
        <w:pStyle w:val="ListParagraph"/>
        <w:numPr>
          <w:ilvl w:val="0"/>
          <w:numId w:val="34"/>
        </w:numPr>
        <w:rPr>
          <w:i/>
          <w:iCs/>
        </w:rPr>
      </w:pPr>
      <w:r w:rsidRPr="00295192">
        <w:rPr>
          <w:i/>
          <w:iCs/>
        </w:rPr>
        <w:lastRenderedPageBreak/>
        <w:t xml:space="preserve">Embodied skills: </w:t>
      </w:r>
      <w:r w:rsidRPr="00295192">
        <w:t xml:space="preserve">Skilled practical work often involves seeing, feeling, hearing, or otherwise sensorially encountering tools and materials in ways that only experts in particular trades can understand </w:t>
      </w:r>
      <w:r w:rsidRPr="00295192">
        <w:fldChar w:fldCharType="begin"/>
      </w:r>
      <w:r w:rsidRPr="00295192">
        <w:instrText xml:space="preserve"> ADDIN ZOTERO_ITEM CSL_CITATION {"citationID":"gRkpOoZr","properties":{"formattedCitation":"(Roth, 2012)","plainCitation":"(Roth, 2012)","noteIndex":0},"citationItems":[{"id":203,"uris":["http://zotero.org/users/local/Nb4N2uBJ/items/Q3CM57PG"],"uri":["http://zotero.org/users/local/Nb4N2uBJ/items/Q3CM57PG"],"itemData":{"id":203,"type":"book","title":"First-person methods: Toward an empirical phenomenology of experience","collection-title":"Practice of research method","publisher":"Sense Publishers","publisher-place":"Rotterdam","event-place":"Rotterdam","language":"eng","author":[{"family":"Roth","given":"Wolff-Michael"}],"issued":{"date-parts":[["2012"]]}}}],"schema":"https://github.com/citation-style-language/schema/raw/master/csl-citation.json"} </w:instrText>
      </w:r>
      <w:r w:rsidRPr="00295192">
        <w:fldChar w:fldCharType="separate"/>
      </w:r>
      <w:r w:rsidRPr="00295192">
        <w:rPr>
          <w:noProof/>
        </w:rPr>
        <w:t>(Roth, 2012)</w:t>
      </w:r>
      <w:r w:rsidRPr="00295192">
        <w:fldChar w:fldCharType="end"/>
      </w:r>
      <w:r w:rsidRPr="00295192">
        <w:t xml:space="preserve">. You might be interested in asking craftspeople, construction workers, or professional artists how they perceive the materials that they work with, </w:t>
      </w:r>
      <w:r>
        <w:t>as well as</w:t>
      </w:r>
      <w:r w:rsidRPr="00295192">
        <w:t xml:space="preserve"> how they developed this kind of understanding. If you have the time and resources, you may even be interested in learning the basics of a new trade yourself – apprenticing oneself to master craftsperson is a time-honored anthropological tradition </w:t>
      </w:r>
      <w:r w:rsidRPr="00295192">
        <w:fldChar w:fldCharType="begin"/>
      </w:r>
      <w:r w:rsidRPr="00295192">
        <w:instrText xml:space="preserve"> ADDIN ZOTERO_ITEM CSL_CITATION {"citationID":"kY0SBc6d","properties":{"formattedCitation":"(Coy, 1989)","plainCitation":"(Coy, 1989)","noteIndex":0},"citationItems":[{"id":2083,"uris":["http://zotero.org/users/local/Nb4N2uBJ/items/LMHI9KQS"],"uri":["http://zotero.org/users/local/Nb4N2uBJ/items/LMHI9KQS"],"itemData":{"id":2083,"type":"chapter","title":"Being what we pretend to be: The usefulness of apprenticeship as a field method","container-title":"Apprenticeship: From Theory to Method and Back Again","publisher":"State University of New York Press","publisher-place":"Albany, NY","event-place":"Albany, NY","author":[{"family":"Coy","given":"Michael"}],"editor":[{"family":"Coy","given":"Michael"}],"issued":{"date-parts":[["1989"]]}}}],"schema":"https://github.com/citation-style-language/schema/raw/master/csl-citation.json"} </w:instrText>
      </w:r>
      <w:r w:rsidRPr="00295192">
        <w:fldChar w:fldCharType="separate"/>
      </w:r>
      <w:r w:rsidRPr="00295192">
        <w:rPr>
          <w:noProof/>
        </w:rPr>
        <w:t>(</w:t>
      </w:r>
      <w:r>
        <w:rPr>
          <w:noProof/>
        </w:rPr>
        <w:t xml:space="preserve">see </w:t>
      </w:r>
      <w:r w:rsidRPr="00295192">
        <w:rPr>
          <w:noProof/>
        </w:rPr>
        <w:t>Coy, 1989)</w:t>
      </w:r>
      <w:r w:rsidRPr="00295192">
        <w:fldChar w:fldCharType="end"/>
      </w:r>
      <w:r w:rsidRPr="00295192">
        <w:t xml:space="preserve">. </w:t>
      </w:r>
    </w:p>
    <w:p w14:paraId="126AE557" w14:textId="77777777" w:rsidR="00D91945" w:rsidRPr="00295192" w:rsidRDefault="00D91945" w:rsidP="00D91945">
      <w:pPr>
        <w:pStyle w:val="ListParagraph"/>
        <w:ind w:left="779"/>
        <w:rPr>
          <w:i/>
          <w:iCs/>
        </w:rPr>
      </w:pPr>
    </w:p>
    <w:p w14:paraId="29ECEC5C" w14:textId="77777777" w:rsidR="00D91945" w:rsidRPr="00295192" w:rsidRDefault="00D91945" w:rsidP="00C23CDB">
      <w:pPr>
        <w:pStyle w:val="ListParagraph"/>
        <w:numPr>
          <w:ilvl w:val="0"/>
          <w:numId w:val="34"/>
        </w:numPr>
        <w:rPr>
          <w:i/>
          <w:iCs/>
        </w:rPr>
      </w:pPr>
      <w:r w:rsidRPr="00295192">
        <w:rPr>
          <w:i/>
          <w:iCs/>
        </w:rPr>
        <w:t xml:space="preserve">Painful professions: </w:t>
      </w:r>
      <w:r w:rsidRPr="00295192">
        <w:t xml:space="preserve">One unfortunate truth about the world of work is that some jobs have negative effects on the bodies of the people who </w:t>
      </w:r>
      <w:r>
        <w:t>carry</w:t>
      </w:r>
      <w:r w:rsidRPr="00295192">
        <w:t xml:space="preserve"> them</w:t>
      </w:r>
      <w:r>
        <w:t xml:space="preserve"> out</w:t>
      </w:r>
      <w:r w:rsidRPr="00295192">
        <w:t xml:space="preserve">. Manual trades are often repetitive and physically demanding, leading to both chronic and acute injuries. As an ethnographer of work, you will sometimes need to explore how particular jobs damage workers’ bodies, and what </w:t>
      </w:r>
      <w:r>
        <w:t>daily</w:t>
      </w:r>
      <w:r w:rsidRPr="00295192">
        <w:t xml:space="preserve"> work feels like for someone who has developed arthritis, back pain, or repetitive stress injuries from problems on the job. These negative consequences can be less obvious as well; a waitress who is required to wear a short skirt in a heavily air-conditioned restaurant will undoubted have a lot to say about the sensory aspects </w:t>
      </w:r>
      <w:r>
        <w:t>of her job.</w:t>
      </w:r>
    </w:p>
    <w:p w14:paraId="01345048" w14:textId="77777777" w:rsidR="00D91945" w:rsidRPr="00295192" w:rsidRDefault="00D91945" w:rsidP="00D91945">
      <w:pPr>
        <w:pStyle w:val="ListParagraph"/>
        <w:rPr>
          <w:i/>
          <w:iCs/>
        </w:rPr>
      </w:pPr>
    </w:p>
    <w:p w14:paraId="4EF878E0" w14:textId="77777777" w:rsidR="00D91945" w:rsidRPr="00E36590" w:rsidRDefault="00D91945" w:rsidP="00C23CDB">
      <w:pPr>
        <w:pStyle w:val="ListParagraph"/>
        <w:numPr>
          <w:ilvl w:val="0"/>
          <w:numId w:val="34"/>
        </w:numPr>
        <w:rPr>
          <w:i/>
          <w:iCs/>
        </w:rPr>
      </w:pPr>
      <w:r w:rsidRPr="00E36590">
        <w:rPr>
          <w:i/>
          <w:iCs/>
        </w:rPr>
        <w:t xml:space="preserve">Vivid environments: </w:t>
      </w:r>
      <w:r w:rsidRPr="00295192">
        <w:t>Even if your research questions are not primarily focused on sensory data, consider adding some sensory texture to your descriptions of the ethnographic setting. For example, if the site you are investigating is very loud or very quiet, let the reader</w:t>
      </w:r>
      <w:r>
        <w:t>s</w:t>
      </w:r>
      <w:r w:rsidRPr="00295192">
        <w:t xml:space="preserve"> know, so that they can better imagine being there. Describing the temperature, the ambient smells, or the textures of commonly</w:t>
      </w:r>
      <w:r>
        <w:t xml:space="preserve"> </w:t>
      </w:r>
      <w:r w:rsidRPr="00295192">
        <w:t xml:space="preserve">encountered surfaces will help the reader </w:t>
      </w:r>
      <w:r>
        <w:t>experience the world as you perceive it. For example, h</w:t>
      </w:r>
      <w:r w:rsidRPr="00295192">
        <w:t>ow comfortable are the chairs</w:t>
      </w:r>
      <w:r>
        <w:t xml:space="preserve"> in the office you are observing? Does the room smell like </w:t>
      </w:r>
      <w:proofErr w:type="gramStart"/>
      <w:r>
        <w:t>freshly-</w:t>
      </w:r>
      <w:r w:rsidRPr="00E36590">
        <w:t>brewed</w:t>
      </w:r>
      <w:proofErr w:type="gramEnd"/>
      <w:r>
        <w:t xml:space="preserve"> coffee, or carpet-cleaning chemicals? </w:t>
      </w:r>
      <w:proofErr w:type="gramStart"/>
      <w:r>
        <w:t>All of</w:t>
      </w:r>
      <w:proofErr w:type="gramEnd"/>
      <w:r>
        <w:t xml:space="preserve"> this description will help to put your reader into the space you are describing – and you may even discover meaningful connections between sensory data and cultural experience that you had not previously considered.</w:t>
      </w:r>
    </w:p>
    <w:p w14:paraId="2D421559" w14:textId="77777777" w:rsidR="00D91945" w:rsidRPr="00E36590" w:rsidRDefault="00D91945" w:rsidP="00D91945">
      <w:pPr>
        <w:rPr>
          <w:i/>
          <w:iCs/>
        </w:rPr>
      </w:pPr>
    </w:p>
    <w:p w14:paraId="5B39D2D1" w14:textId="77777777" w:rsidR="00D91945" w:rsidRPr="00295192" w:rsidRDefault="00D91945" w:rsidP="00D91945">
      <w:pPr>
        <w:pStyle w:val="Heading2"/>
      </w:pPr>
      <w:r w:rsidRPr="00295192">
        <w:t>Conclusion</w:t>
      </w:r>
    </w:p>
    <w:p w14:paraId="0B885E05" w14:textId="77777777" w:rsidR="00D91945" w:rsidRPr="00295192" w:rsidRDefault="00D91945" w:rsidP="00605712">
      <w:pPr>
        <w:ind w:firstLine="720"/>
        <w:rPr>
          <w:lang w:val="en-GB"/>
        </w:rPr>
      </w:pPr>
      <w:r w:rsidRPr="00295192">
        <w:rPr>
          <w:lang w:val="en-GB"/>
        </w:rPr>
        <w:t xml:space="preserve">Remember that participant observation – the ethnographer’s classic technique – </w:t>
      </w:r>
      <w:r>
        <w:rPr>
          <w:lang w:val="en-GB"/>
        </w:rPr>
        <w:t>is not</w:t>
      </w:r>
      <w:r w:rsidRPr="00295192">
        <w:rPr>
          <w:lang w:val="en-GB"/>
        </w:rPr>
        <w:t xml:space="preserve"> necessarily </w:t>
      </w:r>
      <w:r>
        <w:rPr>
          <w:lang w:val="en-GB"/>
        </w:rPr>
        <w:t>limited to</w:t>
      </w:r>
      <w:r w:rsidRPr="00295192">
        <w:rPr>
          <w:lang w:val="en-GB"/>
        </w:rPr>
        <w:t xml:space="preserve"> visual observation. Investigating certain questions about the world of work will require you to employ your whole body as a research instrument, examining the sounds, smells, and physical texture</w:t>
      </w:r>
      <w:r>
        <w:rPr>
          <w:lang w:val="en-GB"/>
        </w:rPr>
        <w:t>s</w:t>
      </w:r>
      <w:r w:rsidRPr="00295192">
        <w:rPr>
          <w:lang w:val="en-GB"/>
        </w:rPr>
        <w:t xml:space="preserve"> of the workplace. Once you start asking these questions, a raft of interesting challenges will arise: How do you capture your embodied experience in the moment? How do you describe fleeting sensations, o</w:t>
      </w:r>
      <w:r>
        <w:rPr>
          <w:lang w:val="en-GB"/>
        </w:rPr>
        <w:t xml:space="preserve">r </w:t>
      </w:r>
      <w:r w:rsidRPr="00295192">
        <w:rPr>
          <w:lang w:val="en-GB"/>
        </w:rPr>
        <w:t>the sense of your body’s position in space? These challenges are what make sensory ethnography illuminating and interesting – not to mention, fun to conduct!</w:t>
      </w:r>
    </w:p>
    <w:p w14:paraId="4B0349BD" w14:textId="77777777" w:rsidR="00D91945" w:rsidRPr="00295192" w:rsidRDefault="00D91945" w:rsidP="00605712">
      <w:pPr>
        <w:ind w:firstLine="720"/>
        <w:rPr>
          <w:lang w:val="en-GB"/>
        </w:rPr>
      </w:pPr>
      <w:r w:rsidRPr="00295192">
        <w:rPr>
          <w:lang w:val="en-GB"/>
        </w:rPr>
        <w:t xml:space="preserve">This short chapter is meant as a quick introduction to the idea of sensory ethnography, rather than a complete how-to manual. If you want to explore this topic further, </w:t>
      </w:r>
      <w:proofErr w:type="gramStart"/>
      <w:r w:rsidRPr="00295192">
        <w:rPr>
          <w:lang w:val="en-GB"/>
        </w:rPr>
        <w:t>take a look</w:t>
      </w:r>
      <w:proofErr w:type="gramEnd"/>
      <w:r w:rsidRPr="00295192">
        <w:rPr>
          <w:lang w:val="en-GB"/>
        </w:rPr>
        <w:t xml:space="preserve"> at the reference list below for in-depth exploration of sensory theories and methods. In particular, </w:t>
      </w:r>
      <w:r w:rsidRPr="00295192">
        <w:rPr>
          <w:lang w:val="en-GB"/>
        </w:rPr>
        <w:lastRenderedPageBreak/>
        <w:t xml:space="preserve">Sarah Pink’s </w:t>
      </w:r>
      <w:r w:rsidRPr="00295192">
        <w:rPr>
          <w:i/>
          <w:iCs/>
          <w:lang w:val="en-GB"/>
        </w:rPr>
        <w:t>Doing Sensory Ethnography</w:t>
      </w:r>
      <w:r w:rsidRPr="00295192">
        <w:rPr>
          <w:lang w:val="en-GB"/>
        </w:rPr>
        <w:t xml:space="preserve"> </w:t>
      </w:r>
      <w:r w:rsidRPr="00295192">
        <w:rPr>
          <w:lang w:val="en-GB"/>
        </w:rPr>
        <w:fldChar w:fldCharType="begin"/>
      </w:r>
      <w:r w:rsidRPr="00295192">
        <w:rPr>
          <w:lang w:val="en-GB"/>
        </w:rPr>
        <w:instrText xml:space="preserve"> ADDIN ZOTERO_ITEM CSL_CITATION {"citationID":"aBpk3nf3","properties":{"formattedCitation":"(2009)","plainCitation":"(2009)","noteIndex":0},"citationItems":[{"id":1132,"uris":["http://zotero.org/users/local/Nb4N2uBJ/items/NE5KRMZD"],"uri":["http://zotero.org/users/local/Nb4N2uBJ/items/NE5KRMZD"],"itemData":{"id":1132,"type":"book","title":"Doing Sensory Ethnography","publisher":"Sage","publisher-place":"London","event-place":"London","ISBN":"978-1-4129-4803-6","author":[{"family":"Pink","given":"Sarah"}],"issued":{"date-parts":[["2009"]]}},"suppress-author":true}],"schema":"https://github.com/citation-style-language/schema/raw/master/csl-citation.json"} </w:instrText>
      </w:r>
      <w:r w:rsidRPr="00295192">
        <w:rPr>
          <w:lang w:val="en-GB"/>
        </w:rPr>
        <w:fldChar w:fldCharType="separate"/>
      </w:r>
      <w:r w:rsidRPr="00295192">
        <w:rPr>
          <w:noProof/>
          <w:lang w:val="en-GB"/>
        </w:rPr>
        <w:t>(2009)</w:t>
      </w:r>
      <w:r w:rsidRPr="00295192">
        <w:rPr>
          <w:lang w:val="en-GB"/>
        </w:rPr>
        <w:fldChar w:fldCharType="end"/>
      </w:r>
      <w:r w:rsidRPr="00295192">
        <w:rPr>
          <w:lang w:val="en-GB"/>
        </w:rPr>
        <w:t xml:space="preserve"> provides an excellent introduction for the beginner embodied ethnographer. </w:t>
      </w:r>
    </w:p>
    <w:p w14:paraId="5830AAAE" w14:textId="77777777" w:rsidR="00D91945" w:rsidRPr="00295192" w:rsidRDefault="00D91945" w:rsidP="00D91945"/>
    <w:p w14:paraId="5E10B8F0" w14:textId="77777777" w:rsidR="00D91945" w:rsidRPr="00295192" w:rsidRDefault="00D91945" w:rsidP="00D91945">
      <w:r w:rsidRPr="00295192">
        <w:t>In summary:</w:t>
      </w:r>
    </w:p>
    <w:p w14:paraId="4293C653" w14:textId="77777777" w:rsidR="00D91945" w:rsidRPr="00295192" w:rsidRDefault="00D91945" w:rsidP="00D91945"/>
    <w:p w14:paraId="3A2C30A6" w14:textId="77777777" w:rsidR="00D91945" w:rsidRPr="00295192" w:rsidRDefault="00D91945" w:rsidP="00C23CDB">
      <w:pPr>
        <w:pStyle w:val="ListParagraph"/>
        <w:numPr>
          <w:ilvl w:val="0"/>
          <w:numId w:val="35"/>
        </w:numPr>
      </w:pPr>
      <w:r w:rsidRPr="00295192">
        <w:t>Think about using your whole body to gather data while conducting a workplace ethnography</w:t>
      </w:r>
      <w:r w:rsidRPr="00295192">
        <w:br/>
      </w:r>
    </w:p>
    <w:p w14:paraId="4C53299E" w14:textId="77777777" w:rsidR="00D91945" w:rsidRPr="00295192" w:rsidRDefault="00D91945" w:rsidP="00C23CDB">
      <w:pPr>
        <w:pStyle w:val="ListParagraph"/>
        <w:numPr>
          <w:ilvl w:val="0"/>
          <w:numId w:val="35"/>
        </w:numPr>
      </w:pPr>
      <w:r w:rsidRPr="00295192">
        <w:t>Consider senses past the ‘classic five’, including your sense</w:t>
      </w:r>
      <w:r>
        <w:t>s</w:t>
      </w:r>
      <w:r w:rsidRPr="00295192">
        <w:t xml:space="preserve"> of balance and bodily movement</w:t>
      </w:r>
      <w:r w:rsidRPr="00295192">
        <w:br/>
      </w:r>
    </w:p>
    <w:p w14:paraId="2D708005" w14:textId="77777777" w:rsidR="00D91945" w:rsidRPr="00295192" w:rsidRDefault="00D91945" w:rsidP="00C23CDB">
      <w:pPr>
        <w:pStyle w:val="ListParagraph"/>
        <w:numPr>
          <w:ilvl w:val="0"/>
          <w:numId w:val="35"/>
        </w:numPr>
      </w:pPr>
      <w:r w:rsidRPr="00295192">
        <w:t xml:space="preserve">Make sure to have a plan for making </w:t>
      </w:r>
      <w:r w:rsidRPr="00295192">
        <w:rPr>
          <w:i/>
          <w:iCs/>
        </w:rPr>
        <w:t>credible</w:t>
      </w:r>
      <w:r w:rsidRPr="00295192">
        <w:t>,</w:t>
      </w:r>
      <w:r w:rsidRPr="00295192">
        <w:rPr>
          <w:i/>
          <w:iCs/>
        </w:rPr>
        <w:t xml:space="preserve"> dependable</w:t>
      </w:r>
      <w:r w:rsidRPr="00295192">
        <w:t xml:space="preserve">, and </w:t>
      </w:r>
      <w:r w:rsidRPr="00295192">
        <w:rPr>
          <w:i/>
          <w:iCs/>
        </w:rPr>
        <w:t>confirmable</w:t>
      </w:r>
      <w:r w:rsidRPr="00295192">
        <w:t xml:space="preserve"> observations. Convince the reader that you put enough time and energy into your fieldwork to make believable claims about your sensory experience. </w:t>
      </w:r>
    </w:p>
    <w:p w14:paraId="4FEC0FB0" w14:textId="77777777" w:rsidR="00D91945" w:rsidRPr="00295192" w:rsidRDefault="00D91945" w:rsidP="00D91945">
      <w:pPr>
        <w:pStyle w:val="ListParagraph"/>
      </w:pPr>
    </w:p>
    <w:p w14:paraId="2E22C4E8" w14:textId="77777777" w:rsidR="00D91945" w:rsidRPr="00295192" w:rsidRDefault="00D91945" w:rsidP="00D91945">
      <w:pPr>
        <w:pStyle w:val="Heading2"/>
      </w:pPr>
      <w:r w:rsidRPr="00295192">
        <w:t>Study Questions</w:t>
      </w:r>
    </w:p>
    <w:p w14:paraId="06E8B653" w14:textId="77777777" w:rsidR="00D91945" w:rsidRPr="00295192" w:rsidRDefault="00D91945" w:rsidP="00D91945">
      <w:pPr>
        <w:rPr>
          <w:lang w:val="en-GB"/>
        </w:rPr>
      </w:pPr>
    </w:p>
    <w:p w14:paraId="28A750EA" w14:textId="77777777" w:rsidR="00D91945" w:rsidRPr="00295192" w:rsidRDefault="00D91945" w:rsidP="00C23CDB">
      <w:pPr>
        <w:pStyle w:val="ListParagraph"/>
        <w:numPr>
          <w:ilvl w:val="0"/>
          <w:numId w:val="25"/>
        </w:numPr>
        <w:rPr>
          <w:lang w:val="en-GB"/>
        </w:rPr>
      </w:pPr>
      <w:r w:rsidRPr="00295192">
        <w:rPr>
          <w:lang w:val="en-GB"/>
        </w:rPr>
        <w:t xml:space="preserve">What is the difference between </w:t>
      </w:r>
      <w:r w:rsidRPr="00295192">
        <w:rPr>
          <w:i/>
          <w:iCs/>
          <w:lang w:val="en-GB"/>
        </w:rPr>
        <w:t>sensation</w:t>
      </w:r>
      <w:r w:rsidRPr="00295192">
        <w:rPr>
          <w:lang w:val="en-GB"/>
        </w:rPr>
        <w:t xml:space="preserve"> and </w:t>
      </w:r>
      <w:r w:rsidRPr="00295192">
        <w:rPr>
          <w:i/>
          <w:iCs/>
          <w:lang w:val="en-GB"/>
        </w:rPr>
        <w:t>perception</w:t>
      </w:r>
      <w:r w:rsidRPr="00295192">
        <w:rPr>
          <w:lang w:val="en-GB"/>
        </w:rPr>
        <w:t>?</w:t>
      </w:r>
    </w:p>
    <w:p w14:paraId="35D7F4C7" w14:textId="77777777" w:rsidR="00D91945" w:rsidRPr="00295192" w:rsidRDefault="00D91945" w:rsidP="00D91945">
      <w:pPr>
        <w:pStyle w:val="ListParagraph"/>
        <w:rPr>
          <w:lang w:val="en-GB"/>
        </w:rPr>
      </w:pPr>
    </w:p>
    <w:p w14:paraId="38D652FB" w14:textId="77777777" w:rsidR="00D91945" w:rsidRPr="00295192" w:rsidRDefault="00D91945" w:rsidP="00C23CDB">
      <w:pPr>
        <w:pStyle w:val="ListParagraph"/>
        <w:numPr>
          <w:ilvl w:val="0"/>
          <w:numId w:val="25"/>
        </w:numPr>
        <w:rPr>
          <w:lang w:val="en-GB"/>
        </w:rPr>
      </w:pPr>
      <w:r w:rsidRPr="00295192">
        <w:rPr>
          <w:lang w:val="en-GB"/>
        </w:rPr>
        <w:t>What bodily senses can you use to conduct ethnographic research?</w:t>
      </w:r>
    </w:p>
    <w:p w14:paraId="113A351D" w14:textId="77777777" w:rsidR="00D91945" w:rsidRPr="00295192" w:rsidRDefault="00D91945" w:rsidP="00D91945">
      <w:pPr>
        <w:pStyle w:val="ListParagraph"/>
        <w:rPr>
          <w:lang w:val="en-GB"/>
        </w:rPr>
      </w:pPr>
    </w:p>
    <w:p w14:paraId="0114496B" w14:textId="77777777" w:rsidR="00D91945" w:rsidRPr="00295192" w:rsidRDefault="00D91945" w:rsidP="00C23CDB">
      <w:pPr>
        <w:pStyle w:val="ListParagraph"/>
        <w:numPr>
          <w:ilvl w:val="0"/>
          <w:numId w:val="25"/>
        </w:numPr>
        <w:rPr>
          <w:lang w:val="en-GB"/>
        </w:rPr>
      </w:pPr>
      <w:r w:rsidRPr="00295192">
        <w:rPr>
          <w:lang w:val="en-GB"/>
        </w:rPr>
        <w:t>When is introspective sensory research appropriate, and when are sensory interviews a better choice?</w:t>
      </w:r>
    </w:p>
    <w:p w14:paraId="025143F9" w14:textId="77777777" w:rsidR="00D91945" w:rsidRPr="00295192" w:rsidRDefault="00D91945" w:rsidP="00D91945">
      <w:pPr>
        <w:pStyle w:val="ListParagraph"/>
        <w:rPr>
          <w:lang w:val="en-GB"/>
        </w:rPr>
      </w:pPr>
    </w:p>
    <w:p w14:paraId="02A9607C" w14:textId="77777777" w:rsidR="00D91945" w:rsidRPr="00295192" w:rsidRDefault="00D91945" w:rsidP="00C23CDB">
      <w:pPr>
        <w:pStyle w:val="ListParagraph"/>
        <w:numPr>
          <w:ilvl w:val="0"/>
          <w:numId w:val="25"/>
        </w:numPr>
        <w:rPr>
          <w:lang w:val="en-GB"/>
        </w:rPr>
      </w:pPr>
      <w:r w:rsidRPr="00295192">
        <w:rPr>
          <w:lang w:val="en-GB"/>
        </w:rPr>
        <w:t xml:space="preserve">How can you convince the reader that you </w:t>
      </w:r>
      <w:proofErr w:type="gramStart"/>
      <w:r w:rsidRPr="00295192">
        <w:rPr>
          <w:lang w:val="en-GB"/>
        </w:rPr>
        <w:t>actually experienced</w:t>
      </w:r>
      <w:proofErr w:type="gramEnd"/>
      <w:r w:rsidRPr="00295192">
        <w:rPr>
          <w:lang w:val="en-GB"/>
        </w:rPr>
        <w:t xml:space="preserve"> the sensations that you report in your ethnography? </w:t>
      </w:r>
    </w:p>
    <w:p w14:paraId="36E7166D" w14:textId="77777777" w:rsidR="00D91945" w:rsidRPr="00295192" w:rsidRDefault="00D91945" w:rsidP="00D91945">
      <w:pPr>
        <w:pStyle w:val="ListParagraph"/>
        <w:rPr>
          <w:lang w:val="en-GB"/>
        </w:rPr>
      </w:pPr>
    </w:p>
    <w:p w14:paraId="5A542697" w14:textId="77777777" w:rsidR="00D91945" w:rsidRPr="00295192" w:rsidRDefault="00D91945" w:rsidP="00C23CDB">
      <w:pPr>
        <w:pStyle w:val="ListParagraph"/>
        <w:numPr>
          <w:ilvl w:val="0"/>
          <w:numId w:val="25"/>
        </w:numPr>
        <w:rPr>
          <w:lang w:val="en-GB"/>
        </w:rPr>
      </w:pPr>
      <w:r w:rsidRPr="00295192">
        <w:rPr>
          <w:lang w:val="en-GB"/>
        </w:rPr>
        <w:t>What topics would you like to explore from a sensory perspective? Would sensory methods</w:t>
      </w:r>
      <w:r>
        <w:rPr>
          <w:lang w:val="en-GB"/>
        </w:rPr>
        <w:t xml:space="preserve"> could</w:t>
      </w:r>
      <w:r w:rsidRPr="00295192">
        <w:rPr>
          <w:lang w:val="en-GB"/>
        </w:rPr>
        <w:t xml:space="preserve"> help you to conduct your workplace ethnographies?</w:t>
      </w:r>
    </w:p>
    <w:p w14:paraId="69594B2A" w14:textId="77777777" w:rsidR="00D91945" w:rsidRPr="00295192" w:rsidRDefault="00D91945" w:rsidP="00D91945">
      <w:pPr>
        <w:rPr>
          <w:lang w:val="en-GB"/>
        </w:rPr>
      </w:pPr>
    </w:p>
    <w:p w14:paraId="21A58212" w14:textId="77777777" w:rsidR="00D91945" w:rsidRPr="00295192" w:rsidRDefault="00D91945" w:rsidP="00D91945">
      <w:pPr>
        <w:pStyle w:val="Heading2"/>
      </w:pPr>
      <w:r w:rsidRPr="00295192">
        <w:t>Key Terms</w:t>
      </w:r>
    </w:p>
    <w:p w14:paraId="657BB106" w14:textId="77777777" w:rsidR="00D91945" w:rsidRPr="00295192" w:rsidRDefault="00D91945" w:rsidP="00D91945"/>
    <w:p w14:paraId="55430DC4" w14:textId="77777777" w:rsidR="00D91945" w:rsidRPr="00295192" w:rsidRDefault="00D91945" w:rsidP="00D91945">
      <w:r w:rsidRPr="00295192">
        <w:rPr>
          <w:i/>
          <w:iCs/>
        </w:rPr>
        <w:t>Sensory ethnography:</w:t>
      </w:r>
      <w:r w:rsidRPr="00295192">
        <w:t xml:space="preserve"> A mode of ethnographic observation that takes sensory data into account, including (but not limited to) the sensations of touch, hearing, and smell, as well as the roles that these senses play in cultural and social interactions.</w:t>
      </w:r>
    </w:p>
    <w:p w14:paraId="08740933" w14:textId="77777777" w:rsidR="00D91945" w:rsidRPr="00295192" w:rsidRDefault="00D91945" w:rsidP="00D91945"/>
    <w:p w14:paraId="669199B4" w14:textId="77777777" w:rsidR="00D91945" w:rsidRPr="00295192" w:rsidRDefault="00D91945" w:rsidP="00D91945">
      <w:r w:rsidRPr="00295192">
        <w:rPr>
          <w:i/>
          <w:iCs/>
        </w:rPr>
        <w:t>Sensation:</w:t>
      </w:r>
      <w:r w:rsidRPr="00295192">
        <w:t xml:space="preserve"> Feelings arising from interactions between the environment and the physical body. Examples include the sense of heat, brightness, pain, or movement. Sensations are raw physical input, rather than interpretations of what the input represents (</w:t>
      </w:r>
      <w:r>
        <w:t>compare</w:t>
      </w:r>
      <w:r w:rsidRPr="00295192">
        <w:t xml:space="preserve"> </w:t>
      </w:r>
      <w:r w:rsidRPr="00295192">
        <w:rPr>
          <w:i/>
          <w:iCs/>
        </w:rPr>
        <w:t>perception</w:t>
      </w:r>
      <w:r w:rsidRPr="00295192">
        <w:t>).</w:t>
      </w:r>
    </w:p>
    <w:p w14:paraId="7AC286B9" w14:textId="77777777" w:rsidR="00D91945" w:rsidRPr="00295192" w:rsidRDefault="00D91945" w:rsidP="00D91945">
      <w:pPr>
        <w:rPr>
          <w:i/>
          <w:iCs/>
        </w:rPr>
      </w:pPr>
    </w:p>
    <w:p w14:paraId="13B75C79" w14:textId="77777777" w:rsidR="00D91945" w:rsidRPr="00295192" w:rsidRDefault="00D91945" w:rsidP="00D91945">
      <w:r w:rsidRPr="00295192">
        <w:rPr>
          <w:i/>
          <w:iCs/>
        </w:rPr>
        <w:t xml:space="preserve">Perception: </w:t>
      </w:r>
      <w:r w:rsidRPr="00295192">
        <w:t xml:space="preserve">Interpretation of sensory input signaling the presence of meaningful objects or events. For example, the </w:t>
      </w:r>
      <w:r w:rsidRPr="00295192">
        <w:rPr>
          <w:i/>
          <w:iCs/>
        </w:rPr>
        <w:t>perception</w:t>
      </w:r>
      <w:r w:rsidRPr="00295192">
        <w:t xml:space="preserve"> of a coffee mug is based on interpretation of the </w:t>
      </w:r>
      <w:r w:rsidRPr="00295192">
        <w:rPr>
          <w:i/>
          <w:iCs/>
        </w:rPr>
        <w:t xml:space="preserve">sensation </w:t>
      </w:r>
      <w:r w:rsidRPr="00295192">
        <w:lastRenderedPageBreak/>
        <w:t>of light reflecting off it and hitting the eye. Perception is generally instantaneous</w:t>
      </w:r>
      <w:r>
        <w:t>, rather than consciously considered.</w:t>
      </w:r>
    </w:p>
    <w:p w14:paraId="7C634BC5" w14:textId="77777777" w:rsidR="00D91945" w:rsidRPr="00295192" w:rsidRDefault="00D91945" w:rsidP="00D91945">
      <w:pPr>
        <w:rPr>
          <w:i/>
          <w:iCs/>
        </w:rPr>
      </w:pPr>
    </w:p>
    <w:p w14:paraId="085EBF27" w14:textId="77777777" w:rsidR="00D91945" w:rsidRPr="00295192" w:rsidRDefault="00D91945" w:rsidP="00D91945">
      <w:r w:rsidRPr="00295192">
        <w:rPr>
          <w:i/>
          <w:iCs/>
        </w:rPr>
        <w:t xml:space="preserve">Proprioception: </w:t>
      </w:r>
      <w:r w:rsidRPr="00295192">
        <w:t xml:space="preserve">The perception of the position of the body, interpreted through the sensation of </w:t>
      </w:r>
      <w:r>
        <w:t>muscular</w:t>
      </w:r>
      <w:r w:rsidRPr="00295192">
        <w:t xml:space="preserve"> tension. </w:t>
      </w:r>
    </w:p>
    <w:p w14:paraId="35D7F4F0" w14:textId="77777777" w:rsidR="00D91945" w:rsidRPr="00295192" w:rsidRDefault="00D91945" w:rsidP="00D91945">
      <w:pPr>
        <w:rPr>
          <w:i/>
          <w:iCs/>
        </w:rPr>
      </w:pPr>
    </w:p>
    <w:p w14:paraId="38DC76C0" w14:textId="77777777" w:rsidR="00D91945" w:rsidRPr="00295192" w:rsidRDefault="00D91945" w:rsidP="00D91945">
      <w:proofErr w:type="spellStart"/>
      <w:r w:rsidRPr="00295192">
        <w:rPr>
          <w:i/>
          <w:iCs/>
        </w:rPr>
        <w:t>Kinaesthesia</w:t>
      </w:r>
      <w:proofErr w:type="spellEnd"/>
      <w:r w:rsidRPr="00295192">
        <w:rPr>
          <w:i/>
          <w:iCs/>
        </w:rPr>
        <w:t xml:space="preserve">: </w:t>
      </w:r>
      <w:r w:rsidRPr="00295192">
        <w:t xml:space="preserve">The perception of bodily movement; closely linked to </w:t>
      </w:r>
      <w:r w:rsidRPr="00295192">
        <w:rPr>
          <w:i/>
          <w:iCs/>
        </w:rPr>
        <w:t>proprioception.</w:t>
      </w:r>
    </w:p>
    <w:p w14:paraId="7CC47C3D" w14:textId="77777777" w:rsidR="00D91945" w:rsidRPr="00295192" w:rsidRDefault="00D91945" w:rsidP="00D91945">
      <w:pPr>
        <w:rPr>
          <w:i/>
          <w:iCs/>
        </w:rPr>
      </w:pPr>
    </w:p>
    <w:p w14:paraId="18DF1DDC" w14:textId="77777777" w:rsidR="00D91945" w:rsidRPr="00295192" w:rsidRDefault="00D91945" w:rsidP="00D91945">
      <w:r w:rsidRPr="00295192">
        <w:rPr>
          <w:i/>
          <w:iCs/>
        </w:rPr>
        <w:t xml:space="preserve">Vestibular Sense: </w:t>
      </w:r>
      <w:r w:rsidRPr="00295192">
        <w:t xml:space="preserve">The perception of </w:t>
      </w:r>
      <w:r>
        <w:t xml:space="preserve">bodily </w:t>
      </w:r>
      <w:r w:rsidRPr="00295192">
        <w:t>balance, interpreted through sensations arising in the inner ear.</w:t>
      </w:r>
    </w:p>
    <w:p w14:paraId="42893167" w14:textId="77777777" w:rsidR="00D91945" w:rsidRPr="00295192" w:rsidRDefault="00D91945" w:rsidP="00D91945">
      <w:pPr>
        <w:rPr>
          <w:rFonts w:eastAsiaTheme="majorEastAsia"/>
          <w:b/>
          <w:bCs/>
          <w:color w:val="000000" w:themeColor="text1"/>
          <w:lang w:val="en-GB"/>
        </w:rPr>
      </w:pPr>
    </w:p>
    <w:p w14:paraId="243903E7" w14:textId="77777777" w:rsidR="00D91945" w:rsidRPr="00295192" w:rsidRDefault="00D91945" w:rsidP="00D91945">
      <w:pPr>
        <w:pStyle w:val="Heading2"/>
      </w:pPr>
      <w:r w:rsidRPr="00295192">
        <w:t>Citations</w:t>
      </w:r>
    </w:p>
    <w:p w14:paraId="3A577355" w14:textId="77777777" w:rsidR="00D91945" w:rsidRPr="00295192" w:rsidRDefault="00D91945" w:rsidP="00D91945">
      <w:pPr>
        <w:rPr>
          <w:lang w:val="en-GB"/>
        </w:rPr>
      </w:pPr>
    </w:p>
    <w:p w14:paraId="47F0697B" w14:textId="77777777" w:rsidR="00D91945" w:rsidRPr="00295192" w:rsidRDefault="00D91945" w:rsidP="00D91945">
      <w:pPr>
        <w:pStyle w:val="Bibliography"/>
      </w:pPr>
      <w:r w:rsidRPr="00295192">
        <w:rPr>
          <w:lang w:val="en-GB"/>
        </w:rPr>
        <w:fldChar w:fldCharType="begin"/>
      </w:r>
      <w:r w:rsidRPr="00295192">
        <w:rPr>
          <w:lang w:val="en-GB"/>
        </w:rPr>
        <w:instrText xml:space="preserve"> ADDIN ZOTERO_BIBL {"uncited":[],"omitted":[],"custom":[]} CSL_BIBLIOGRAPHY </w:instrText>
      </w:r>
      <w:r w:rsidRPr="00295192">
        <w:rPr>
          <w:lang w:val="en-GB"/>
        </w:rPr>
        <w:fldChar w:fldCharType="separate"/>
      </w:r>
      <w:r w:rsidRPr="00295192">
        <w:t xml:space="preserve">Armstrong, D. M. (1962). </w:t>
      </w:r>
      <w:r w:rsidRPr="00295192">
        <w:rPr>
          <w:i/>
          <w:iCs/>
        </w:rPr>
        <w:t>Bodily sensations</w:t>
      </w:r>
      <w:r w:rsidRPr="00295192">
        <w:t>. London: Routledge &amp; Kegan Paul.</w:t>
      </w:r>
    </w:p>
    <w:p w14:paraId="6D0B7936" w14:textId="77777777" w:rsidR="00D91945" w:rsidRPr="00295192" w:rsidRDefault="00D91945" w:rsidP="00D91945">
      <w:pPr>
        <w:pStyle w:val="Bibliography"/>
      </w:pPr>
      <w:r w:rsidRPr="00295192">
        <w:t xml:space="preserve">Cooper, E. (1989). Apprenticeship as field method: Lessons from Hong Kong. In M. Coy (Ed.), </w:t>
      </w:r>
      <w:r w:rsidRPr="00295192">
        <w:rPr>
          <w:i/>
          <w:iCs/>
        </w:rPr>
        <w:t>Apprenticeship: From Theory to Method and Back Again</w:t>
      </w:r>
      <w:r w:rsidRPr="00295192">
        <w:t>. New York: State University of New York Press.</w:t>
      </w:r>
    </w:p>
    <w:p w14:paraId="6C35EB2D" w14:textId="77777777" w:rsidR="00D91945" w:rsidRPr="00295192" w:rsidRDefault="00D91945" w:rsidP="00D91945">
      <w:pPr>
        <w:pStyle w:val="Bibliography"/>
      </w:pPr>
      <w:r w:rsidRPr="00295192">
        <w:t xml:space="preserve">Coy, M. (1989). Being what we pretend to be: The usefulness of apprenticeship as a field method. In M. Coy (Ed.), </w:t>
      </w:r>
      <w:r w:rsidRPr="00295192">
        <w:rPr>
          <w:i/>
          <w:iCs/>
        </w:rPr>
        <w:t>Apprenticeship: From Theory to Method and Back Again</w:t>
      </w:r>
      <w:r w:rsidRPr="00295192">
        <w:t>. Albany, NY: State University of New York Press.</w:t>
      </w:r>
    </w:p>
    <w:p w14:paraId="6B8C002D" w14:textId="77777777" w:rsidR="00D91945" w:rsidRPr="00295192" w:rsidRDefault="00D91945" w:rsidP="00D91945">
      <w:pPr>
        <w:pStyle w:val="Bibliography"/>
      </w:pPr>
      <w:r w:rsidRPr="00295192">
        <w:t xml:space="preserve">Lincoln, Y. S., &amp; Guba, E. G. (1985). </w:t>
      </w:r>
      <w:r w:rsidRPr="00295192">
        <w:rPr>
          <w:i/>
          <w:iCs/>
        </w:rPr>
        <w:t>Naturalistic inquiry</w:t>
      </w:r>
      <w:r w:rsidRPr="00295192">
        <w:t>. Newbury Park, CA: Sage.</w:t>
      </w:r>
    </w:p>
    <w:p w14:paraId="74EFAEAA" w14:textId="77777777" w:rsidR="00D91945" w:rsidRPr="00295192" w:rsidRDefault="00D91945" w:rsidP="00D91945">
      <w:pPr>
        <w:pStyle w:val="Bibliography"/>
      </w:pPr>
      <w:r w:rsidRPr="00295192">
        <w:t xml:space="preserve">Locke, E. A. (2009). It’s Time We Brought Introspection Out of the Closet. </w:t>
      </w:r>
      <w:r w:rsidRPr="00295192">
        <w:rPr>
          <w:i/>
          <w:iCs/>
        </w:rPr>
        <w:t>Perspectives on Psychological Science</w:t>
      </w:r>
      <w:r w:rsidRPr="00295192">
        <w:t xml:space="preserve">, </w:t>
      </w:r>
      <w:r w:rsidRPr="00295192">
        <w:rPr>
          <w:i/>
          <w:iCs/>
        </w:rPr>
        <w:t>4</w:t>
      </w:r>
      <w:r w:rsidRPr="00295192">
        <w:t>, 24–25.</w:t>
      </w:r>
    </w:p>
    <w:p w14:paraId="2A0C9463" w14:textId="77777777" w:rsidR="00D91945" w:rsidRPr="00295192" w:rsidRDefault="00D91945" w:rsidP="00D91945">
      <w:pPr>
        <w:pStyle w:val="Bibliography"/>
      </w:pPr>
      <w:r w:rsidRPr="00295192">
        <w:t xml:space="preserve">O’Connor, E. (2005). Embodied knowledge: The experience of meaning and the struggle towards proficiency in glassblowing. </w:t>
      </w:r>
      <w:r w:rsidRPr="00295192">
        <w:rPr>
          <w:i/>
          <w:iCs/>
        </w:rPr>
        <w:t>Ethnography</w:t>
      </w:r>
      <w:r w:rsidRPr="00295192">
        <w:t xml:space="preserve">, </w:t>
      </w:r>
      <w:r w:rsidRPr="00295192">
        <w:rPr>
          <w:i/>
          <w:iCs/>
        </w:rPr>
        <w:t>6</w:t>
      </w:r>
      <w:r w:rsidRPr="00295192">
        <w:t>, 183–204.</w:t>
      </w:r>
    </w:p>
    <w:p w14:paraId="3FA571B5" w14:textId="77777777" w:rsidR="00D91945" w:rsidRPr="00295192" w:rsidRDefault="00D91945" w:rsidP="00D91945">
      <w:pPr>
        <w:pStyle w:val="Bibliography"/>
      </w:pPr>
      <w:r w:rsidRPr="00295192">
        <w:t xml:space="preserve">Paterson, M. (2007). </w:t>
      </w:r>
      <w:r w:rsidRPr="00295192">
        <w:rPr>
          <w:i/>
          <w:iCs/>
        </w:rPr>
        <w:t>The senses of touch: Haptics, affects and technologies</w:t>
      </w:r>
      <w:r w:rsidRPr="00295192">
        <w:t>. Oxford: Berg.</w:t>
      </w:r>
    </w:p>
    <w:p w14:paraId="4907FB21" w14:textId="77777777" w:rsidR="00D91945" w:rsidRPr="00295192" w:rsidRDefault="00D91945" w:rsidP="00D91945">
      <w:pPr>
        <w:pStyle w:val="Bibliography"/>
      </w:pPr>
      <w:r w:rsidRPr="00295192">
        <w:t xml:space="preserve">Pink, S. (2009). </w:t>
      </w:r>
      <w:r w:rsidRPr="00295192">
        <w:rPr>
          <w:i/>
          <w:iCs/>
        </w:rPr>
        <w:t>Doing Sensory Ethnography</w:t>
      </w:r>
      <w:r w:rsidRPr="00295192">
        <w:t>. London: Sage.</w:t>
      </w:r>
    </w:p>
    <w:p w14:paraId="5239FAAD" w14:textId="77777777" w:rsidR="00D91945" w:rsidRPr="00295192" w:rsidRDefault="00D91945" w:rsidP="00D91945">
      <w:pPr>
        <w:pStyle w:val="Bibliography"/>
      </w:pPr>
      <w:r w:rsidRPr="00295192">
        <w:t xml:space="preserve">Potter, C. (2008). Sense of Motion, Senses of Self: Becoming a Dancer. </w:t>
      </w:r>
      <w:r w:rsidRPr="00295192">
        <w:rPr>
          <w:i/>
          <w:iCs/>
        </w:rPr>
        <w:t>Ethnos</w:t>
      </w:r>
      <w:r w:rsidRPr="00295192">
        <w:t xml:space="preserve">, </w:t>
      </w:r>
      <w:r w:rsidRPr="00295192">
        <w:rPr>
          <w:i/>
          <w:iCs/>
        </w:rPr>
        <w:t>73</w:t>
      </w:r>
      <w:r w:rsidRPr="00295192">
        <w:t>, 444–465.</w:t>
      </w:r>
    </w:p>
    <w:p w14:paraId="1552A8F3" w14:textId="77777777" w:rsidR="00D91945" w:rsidRPr="00295192" w:rsidRDefault="00D91945" w:rsidP="00D91945">
      <w:pPr>
        <w:pStyle w:val="Bibliography"/>
      </w:pPr>
      <w:r w:rsidRPr="00295192">
        <w:t xml:space="preserve">Roth, W.M. (2012). </w:t>
      </w:r>
      <w:r w:rsidRPr="00295192">
        <w:rPr>
          <w:i/>
          <w:iCs/>
        </w:rPr>
        <w:t>First-person methods: Toward an empirical phenomenology of experience</w:t>
      </w:r>
      <w:r w:rsidRPr="00295192">
        <w:t>. Rotterdam: Sense Publishers.</w:t>
      </w:r>
    </w:p>
    <w:p w14:paraId="1F282D8C" w14:textId="77777777" w:rsidR="00D91945" w:rsidRPr="00295192" w:rsidRDefault="00D91945" w:rsidP="00D91945">
      <w:pPr>
        <w:pStyle w:val="Bibliography"/>
      </w:pPr>
      <w:r w:rsidRPr="00295192">
        <w:t xml:space="preserve">Titchener, E. B. (1987). Introspection. </w:t>
      </w:r>
      <w:r w:rsidRPr="00295192">
        <w:rPr>
          <w:i/>
          <w:iCs/>
        </w:rPr>
        <w:t>The American Journal of Psychology</w:t>
      </w:r>
      <w:r w:rsidRPr="00295192">
        <w:t xml:space="preserve">, </w:t>
      </w:r>
      <w:r w:rsidRPr="00295192">
        <w:rPr>
          <w:i/>
          <w:iCs/>
        </w:rPr>
        <w:t>100</w:t>
      </w:r>
      <w:r w:rsidRPr="00295192">
        <w:t>, 705–707.</w:t>
      </w:r>
      <w:r w:rsidRPr="00295192">
        <w:rPr>
          <w:lang w:val="en-GB"/>
        </w:rPr>
        <w:fldChar w:fldCharType="end"/>
      </w:r>
    </w:p>
    <w:p w14:paraId="43912235" w14:textId="77777777" w:rsidR="00605712" w:rsidRDefault="00605712">
      <w:pPr>
        <w:rPr>
          <w:rFonts w:asciiTheme="majorHAnsi" w:eastAsiaTheme="majorEastAsia" w:hAnsiTheme="majorHAnsi" w:cstheme="majorBidi"/>
          <w:color w:val="2F5496" w:themeColor="accent1" w:themeShade="BF"/>
          <w:sz w:val="32"/>
          <w:szCs w:val="32"/>
        </w:rPr>
      </w:pPr>
      <w:r>
        <w:br w:type="page"/>
      </w:r>
    </w:p>
    <w:p w14:paraId="41516DDB" w14:textId="6BB2C088" w:rsidR="00D91945" w:rsidRDefault="00D91945" w:rsidP="00D91945">
      <w:pPr>
        <w:pStyle w:val="Heading1"/>
        <w:spacing w:before="0"/>
      </w:pPr>
      <w:r w:rsidRPr="00E52BCD">
        <w:lastRenderedPageBreak/>
        <w:t>Participant</w:t>
      </w:r>
      <w:r>
        <w:t>-o</w:t>
      </w:r>
      <w:r w:rsidRPr="00E52BCD">
        <w:t xml:space="preserve">bservation in </w:t>
      </w:r>
      <w:r>
        <w:t>e</w:t>
      </w:r>
      <w:r w:rsidRPr="00E52BCD">
        <w:t>thnography</w:t>
      </w:r>
    </w:p>
    <w:p w14:paraId="6BF0479E" w14:textId="77777777" w:rsidR="00D91945" w:rsidRPr="00DF611F" w:rsidRDefault="00D91945" w:rsidP="00D91945">
      <w:pPr>
        <w:jc w:val="center"/>
      </w:pPr>
      <w:r>
        <w:t>by Maureen E. Sheridan</w:t>
      </w:r>
    </w:p>
    <w:p w14:paraId="7BF8692A" w14:textId="77777777" w:rsidR="00D91945" w:rsidRPr="00D76067" w:rsidRDefault="00D91945" w:rsidP="00D91945"/>
    <w:p w14:paraId="03E75856" w14:textId="77777777" w:rsidR="00D91945" w:rsidRPr="00E52BCD" w:rsidRDefault="00D91945" w:rsidP="00D91945">
      <w:pPr>
        <w:pStyle w:val="Heading2"/>
        <w:spacing w:before="0"/>
      </w:pPr>
      <w:r>
        <w:t>Introduction</w:t>
      </w:r>
    </w:p>
    <w:p w14:paraId="460EA699" w14:textId="31DA2E63" w:rsidR="00D91945" w:rsidRDefault="00D91945" w:rsidP="00D91945">
      <w:r w:rsidRPr="0045016B">
        <w:tab/>
      </w:r>
      <w:r>
        <w:t>Ethnographic f</w:t>
      </w:r>
      <w:r w:rsidRPr="00D76067">
        <w:t xml:space="preserve">ield research is a qualitative method of data collection </w:t>
      </w:r>
      <w:r>
        <w:t>to</w:t>
      </w:r>
      <w:r w:rsidRPr="00D76067">
        <w:t xml:space="preserve"> observ</w:t>
      </w:r>
      <w:r>
        <w:t>e,</w:t>
      </w:r>
      <w:r w:rsidRPr="00D76067">
        <w:t xml:space="preserve"> interact</w:t>
      </w:r>
      <w:r>
        <w:t>, and understand</w:t>
      </w:r>
      <w:r w:rsidRPr="00D76067">
        <w:t xml:space="preserve"> </w:t>
      </w:r>
      <w:r>
        <w:t>how</w:t>
      </w:r>
      <w:r w:rsidRPr="00D76067">
        <w:t xml:space="preserve"> people</w:t>
      </w:r>
      <w:r>
        <w:t xml:space="preserve"> develop</w:t>
      </w:r>
      <w:r w:rsidRPr="00D76067">
        <w:t xml:space="preserve"> </w:t>
      </w:r>
      <w:r>
        <w:t>with</w:t>
      </w:r>
      <w:r w:rsidRPr="00D76067">
        <w:t xml:space="preserve">in </w:t>
      </w:r>
      <w:r>
        <w:t>their proximal environment</w:t>
      </w:r>
      <w:r w:rsidRPr="00D76067">
        <w:t xml:space="preserve">. </w:t>
      </w:r>
      <w:r>
        <w:t>Ethnographic methods are techniques used to collect data and may include methods like interviews, participant-observation, mapping, focus groups, or surveys (</w:t>
      </w:r>
      <w:proofErr w:type="spellStart"/>
      <w:r>
        <w:t>Mannik</w:t>
      </w:r>
      <w:proofErr w:type="spellEnd"/>
      <w:r>
        <w:t xml:space="preserve"> &amp; </w:t>
      </w:r>
      <w:proofErr w:type="spellStart"/>
      <w:r>
        <w:t>McGarray</w:t>
      </w:r>
      <w:proofErr w:type="spellEnd"/>
      <w:r>
        <w:t>, 2017). W</w:t>
      </w:r>
      <w:r w:rsidRPr="00D76067">
        <w:t xml:space="preserve">hen </w:t>
      </w:r>
      <w:r>
        <w:t>a researcher speaks about</w:t>
      </w:r>
      <w:r w:rsidRPr="00D76067">
        <w:t xml:space="preserve"> being in “the field,” they</w:t>
      </w:r>
      <w:r>
        <w:t xml:space="preserve"> are</w:t>
      </w:r>
      <w:r w:rsidRPr="00D76067">
        <w:t xml:space="preserve"> </w:t>
      </w:r>
      <w:r>
        <w:t>describing how it feels to be</w:t>
      </w:r>
      <w:r w:rsidRPr="00D76067">
        <w:t xml:space="preserve"> </w:t>
      </w:r>
      <w:r>
        <w:t>at a location</w:t>
      </w:r>
      <w:r w:rsidRPr="00D76067">
        <w:t xml:space="preserve"> </w:t>
      </w:r>
      <w:r>
        <w:t xml:space="preserve">examining </w:t>
      </w:r>
      <w:r w:rsidRPr="00D76067">
        <w:t xml:space="preserve">the everyday lives of the people they are studying. </w:t>
      </w:r>
    </w:p>
    <w:p w14:paraId="7544046B" w14:textId="1A324B5B" w:rsidR="00D91945" w:rsidRDefault="00D91945" w:rsidP="00D91945">
      <w:r>
        <w:tab/>
      </w:r>
      <w:r w:rsidRPr="00E67F24">
        <w:t xml:space="preserve">Participant-observation is an indispensable component of the ethnographic research process because the researcher is in an active state of participation while at the same time passively observing their subjects (Murchison, 2010; </w:t>
      </w:r>
      <w:proofErr w:type="spellStart"/>
      <w:r w:rsidRPr="00E67F24">
        <w:t>Tombro</w:t>
      </w:r>
      <w:proofErr w:type="spellEnd"/>
      <w:r w:rsidRPr="00E67F24">
        <w:t>, 2016).</w:t>
      </w:r>
      <w:r>
        <w:t xml:space="preserve"> In examining </w:t>
      </w:r>
      <w:r w:rsidRPr="0045016B">
        <w:t xml:space="preserve">ethnography, it is important to acknowledge that participation and observation are equally </w:t>
      </w:r>
      <w:r>
        <w:t xml:space="preserve">important </w:t>
      </w:r>
      <w:r w:rsidRPr="0045016B">
        <w:t xml:space="preserve">to accurately gather </w:t>
      </w:r>
      <w:r>
        <w:t>data yet can be construed as contradictory principles</w:t>
      </w:r>
      <w:r w:rsidRPr="0045016B">
        <w:t>. The ethnographer not only observes and assembles notes and field maps</w:t>
      </w:r>
      <w:r>
        <w:t xml:space="preserve"> throughout the process</w:t>
      </w:r>
      <w:r w:rsidRPr="0045016B">
        <w:t xml:space="preserve">, they </w:t>
      </w:r>
      <w:r>
        <w:t xml:space="preserve">also </w:t>
      </w:r>
      <w:r w:rsidRPr="0045016B">
        <w:t xml:space="preserve">benefit from having gained </w:t>
      </w:r>
      <w:r>
        <w:t xml:space="preserve">a </w:t>
      </w:r>
      <w:r w:rsidRPr="0045016B">
        <w:t xml:space="preserve">first-hand </w:t>
      </w:r>
      <w:r>
        <w:t xml:space="preserve">account of a </w:t>
      </w:r>
      <w:r w:rsidRPr="0045016B">
        <w:t>lived experience.</w:t>
      </w:r>
      <w:r>
        <w:t xml:space="preserve"> Working side by side daily with participants in a research environment allows the ethnographer to gain first-hand knowledge about the environment under investigation.</w:t>
      </w:r>
      <w:r w:rsidRPr="0045016B">
        <w:t xml:space="preserve"> In other words, to make the most out of the ethnographic research process, the participant-observer must practice the art of balancing both participation and observation</w:t>
      </w:r>
      <w:r>
        <w:t>, which can be difficult at times (</w:t>
      </w:r>
      <w:proofErr w:type="spellStart"/>
      <w:r>
        <w:t>Mannik</w:t>
      </w:r>
      <w:proofErr w:type="spellEnd"/>
      <w:r>
        <w:t xml:space="preserve"> &amp; </w:t>
      </w:r>
      <w:proofErr w:type="spellStart"/>
      <w:r>
        <w:t>McGarray</w:t>
      </w:r>
      <w:proofErr w:type="spellEnd"/>
      <w:r>
        <w:t>, 2017; Murchison, 2010)</w:t>
      </w:r>
      <w:r w:rsidRPr="0045016B">
        <w:t>.</w:t>
      </w:r>
    </w:p>
    <w:p w14:paraId="4D6A69BE" w14:textId="77777777" w:rsidR="00D91945" w:rsidRDefault="00D91945" w:rsidP="00D91945">
      <w:r w:rsidRPr="0045016B">
        <w:tab/>
      </w:r>
      <w:r>
        <w:t>Frequently</w:t>
      </w:r>
      <w:r w:rsidRPr="0045016B">
        <w:t xml:space="preserve"> individuals think that the ethnographic research process of participation and observation are easy tasks because the researcher seems to be simply </w:t>
      </w:r>
      <w:r>
        <w:t>surveying</w:t>
      </w:r>
      <w:r w:rsidRPr="0045016B">
        <w:t xml:space="preserve"> their subjects </w:t>
      </w:r>
      <w:r>
        <w:t xml:space="preserve">in a less </w:t>
      </w:r>
      <w:r w:rsidRPr="0045016B">
        <w:t xml:space="preserve">formal </w:t>
      </w:r>
      <w:r>
        <w:t>or</w:t>
      </w:r>
      <w:r w:rsidRPr="0045016B">
        <w:t xml:space="preserve"> structured way. </w:t>
      </w:r>
      <w:r>
        <w:t>It might even seem an easy or fun task with little interjection on the part of the researcher. Whatever the case may appear to be</w:t>
      </w:r>
      <w:r w:rsidRPr="0045016B">
        <w:t xml:space="preserve">, </w:t>
      </w:r>
      <w:r>
        <w:t xml:space="preserve">one should note that </w:t>
      </w:r>
      <w:r w:rsidRPr="0045016B">
        <w:t>successful participant-observation requires that researcher</w:t>
      </w:r>
      <w:r>
        <w:t>s</w:t>
      </w:r>
      <w:r w:rsidRPr="0045016B">
        <w:t xml:space="preserve"> develop a way to first check their personal </w:t>
      </w:r>
      <w:r>
        <w:t>bias</w:t>
      </w:r>
      <w:r w:rsidRPr="0045016B">
        <w:t xml:space="preserve"> </w:t>
      </w:r>
      <w:r>
        <w:t xml:space="preserve">at the start of the investigation and to </w:t>
      </w:r>
      <w:r w:rsidRPr="0045016B">
        <w:t>observe and participate</w:t>
      </w:r>
      <w:r>
        <w:t xml:space="preserve"> within the environment in</w:t>
      </w:r>
      <w:r w:rsidRPr="0045016B">
        <w:t xml:space="preserve"> </w:t>
      </w:r>
      <w:r>
        <w:t xml:space="preserve">an unfettered and unbiased way (Anderson, 2011; </w:t>
      </w:r>
      <w:proofErr w:type="spellStart"/>
      <w:r>
        <w:t>Tombro</w:t>
      </w:r>
      <w:proofErr w:type="spellEnd"/>
      <w:r>
        <w:t>, 2016)</w:t>
      </w:r>
      <w:r w:rsidRPr="0045016B">
        <w:t>. The role of the ethnographer</w:t>
      </w:r>
      <w:r>
        <w:t xml:space="preserve"> is not to guess what they might find, it</w:t>
      </w:r>
      <w:r w:rsidRPr="0045016B">
        <w:t xml:space="preserve"> involves</w:t>
      </w:r>
      <w:r>
        <w:t xml:space="preserve"> rather,</w:t>
      </w:r>
      <w:r w:rsidRPr="0045016B">
        <w:t xml:space="preserve"> researching the behavior of their </w:t>
      </w:r>
      <w:r>
        <w:t xml:space="preserve">participants and their surrounding environment </w:t>
      </w:r>
      <w:r w:rsidRPr="00ED7AAE">
        <w:t>objectively</w:t>
      </w:r>
      <w:r w:rsidRPr="0045016B">
        <w:t xml:space="preserve"> </w:t>
      </w:r>
      <w:r>
        <w:t>which occurs</w:t>
      </w:r>
      <w:r w:rsidRPr="0045016B">
        <w:t xml:space="preserve"> over an extended period. </w:t>
      </w:r>
    </w:p>
    <w:p w14:paraId="4A00EFDF" w14:textId="77777777" w:rsidR="00D91945" w:rsidRPr="0045016B" w:rsidRDefault="00D91945" w:rsidP="00D91945">
      <w:r>
        <w:tab/>
        <w:t xml:space="preserve">Equally important to note is that an ethnographic study consumes the researcher's and participants time as it occurs over an extended period of weeks, months, or even years. The ethnographic method takes resources from the ethnographer's own energies as they become an active participant while simultaneously observing the process itself. </w:t>
      </w:r>
      <w:r w:rsidRPr="0045016B">
        <w:t>Observing specific groups of individuals in their own environment cuts to the root of an ethnographer's mission.</w:t>
      </w:r>
      <w:r>
        <w:t xml:space="preserve"> But this cannot happen within a vacuum. The trick to successful participant-observation is to remain objective and observant while, at the same time, becoming involved in a hands-on, first-hand experience. It is imperative to remain objective in one's role (</w:t>
      </w:r>
      <w:proofErr w:type="spellStart"/>
      <w:r>
        <w:t>Tombro</w:t>
      </w:r>
      <w:proofErr w:type="spellEnd"/>
      <w:r>
        <w:t xml:space="preserve">, 2016; Van </w:t>
      </w:r>
      <w:proofErr w:type="spellStart"/>
      <w:r>
        <w:t>Mannen</w:t>
      </w:r>
      <w:proofErr w:type="spellEnd"/>
      <w:r>
        <w:t>, 2003).</w:t>
      </w:r>
    </w:p>
    <w:p w14:paraId="20FF1A8D" w14:textId="77777777" w:rsidR="00D91945" w:rsidRDefault="00D91945" w:rsidP="00D91945"/>
    <w:p w14:paraId="75AA5335" w14:textId="77777777" w:rsidR="00D91945" w:rsidRDefault="00D91945" w:rsidP="00D91945">
      <w:r w:rsidRPr="0045016B">
        <w:lastRenderedPageBreak/>
        <w:tab/>
      </w:r>
      <w:r>
        <w:t>In this chapter, we see that t</w:t>
      </w:r>
      <w:r w:rsidRPr="0045016B">
        <w:t>he role of participant-observer can be challenging</w:t>
      </w:r>
      <w:r>
        <w:t xml:space="preserve"> as the ethnographer navigates the research process within a socially constructed environment</w:t>
      </w:r>
      <w:r w:rsidRPr="0045016B">
        <w:t xml:space="preserve">. </w:t>
      </w:r>
      <w:r>
        <w:t xml:space="preserve">It has been noted that most researchers do not choose the ethnographic method as a research method. Instead, they may choose observation, interviews, surveys, or focus groups to understand the phenomenon under investigation. Ethnographic research requires a long-term commitment of weeks, months, or years, and commands the researcher's active interest in the process at hand. The ability to communicate effectively with participants about the reasons for and the process of how the study will occur is critical in gaining not only participants' trust but their shared enthusiasm as well. </w:t>
      </w:r>
    </w:p>
    <w:p w14:paraId="22471D1B" w14:textId="77777777" w:rsidR="00D91945" w:rsidRDefault="00D91945" w:rsidP="00D91945">
      <w:pPr>
        <w:rPr>
          <w:w w:val="95"/>
        </w:rPr>
      </w:pPr>
    </w:p>
    <w:p w14:paraId="7A10A6D3" w14:textId="77777777" w:rsidR="00D91945" w:rsidRPr="00646100" w:rsidRDefault="00D91945" w:rsidP="00D91945">
      <w:pPr>
        <w:pStyle w:val="Heading2"/>
        <w:spacing w:before="0"/>
      </w:pPr>
      <w:r>
        <w:t>Reconciling</w:t>
      </w:r>
      <w:r w:rsidRPr="00646100">
        <w:t xml:space="preserve"> Participation and Observation</w:t>
      </w:r>
    </w:p>
    <w:p w14:paraId="1696D260" w14:textId="08298E37" w:rsidR="00D91945" w:rsidRDefault="00D91945" w:rsidP="00D91945">
      <w:r w:rsidRPr="00A45A34">
        <w:tab/>
        <w:t>Some experts argue that the ethnographic research strategy cannot be reconciled with the participant-observation method. Participant-observation appears to have contradictory principles that cannot be equitably negotiated. The ethnographer may have a more difficult time to plan for research because the process not only requires solid preparation and purpose, but the actual participant-observation takes place over an extended period</w:t>
      </w:r>
      <w:r>
        <w:t xml:space="preserve"> of weeks, months, or years</w:t>
      </w:r>
      <w:r w:rsidRPr="00A45A34">
        <w:t xml:space="preserve">. Ethnographic research requires that the participant-observer maintain an objective stance and remain a detached observer. The researcher must not intentionally try to redirect or influence the environment or participants under examination. A challenge the ethnographer faces is that, although the researcher must keep a neutral frame of mind and avoid bringing personal bias into the equation, their direct participation in the study involves them on a personal level. This happens when their own lived experience mixes with the environment and </w:t>
      </w:r>
      <w:r>
        <w:t xml:space="preserve">reacts to the </w:t>
      </w:r>
      <w:r w:rsidRPr="00A45A34">
        <w:t>subjects</w:t>
      </w:r>
      <w:r>
        <w:t xml:space="preserve"> and environment</w:t>
      </w:r>
      <w:r w:rsidRPr="00A45A34">
        <w:t xml:space="preserve"> involved</w:t>
      </w:r>
      <w:r>
        <w:t xml:space="preserve"> (</w:t>
      </w:r>
      <w:proofErr w:type="spellStart"/>
      <w:r>
        <w:t>Alasuutari</w:t>
      </w:r>
      <w:proofErr w:type="spellEnd"/>
      <w:r>
        <w:t xml:space="preserve">, 1995; Murchison, 2010; </w:t>
      </w:r>
      <w:proofErr w:type="spellStart"/>
      <w:r>
        <w:t>Tombro</w:t>
      </w:r>
      <w:proofErr w:type="spellEnd"/>
      <w:r>
        <w:t>, 2016).</w:t>
      </w:r>
    </w:p>
    <w:p w14:paraId="3F2291EA" w14:textId="3D41910C" w:rsidR="00D91945" w:rsidRDefault="00D91945" w:rsidP="00D91945">
      <w:r>
        <w:tab/>
      </w:r>
      <w:r w:rsidRPr="00A45A34">
        <w:t xml:space="preserve">In order to drill down and gain access to the personal </w:t>
      </w:r>
      <w:r w:rsidRPr="0045016B">
        <w:t>experiences of a society or culture in action, the</w:t>
      </w:r>
      <w:r>
        <w:t xml:space="preserve"> ethnographer</w:t>
      </w:r>
      <w:r w:rsidRPr="0045016B">
        <w:t xml:space="preserve"> must become involved on a personal level to some degree. It has been argued that participant-observation involves acquiring important first-hand knowledge of the subjects being studied </w:t>
      </w:r>
      <w:r>
        <w:t xml:space="preserve">but it </w:t>
      </w:r>
      <w:r w:rsidRPr="0045016B">
        <w:t xml:space="preserve">can cause the ethnographer to involuntarily abandon their objective stance. </w:t>
      </w:r>
      <w:r>
        <w:t>When this occurs,</w:t>
      </w:r>
      <w:r w:rsidRPr="0045016B">
        <w:t xml:space="preserve"> the ethnographer may experience social or cultural empathy that could sway the conclusions of the investigation.</w:t>
      </w:r>
      <w:r>
        <w:t xml:space="preserve"> The researcher must be cognizant of keeping an open mind and not to prejudge anything he/she/they witnesses (Murchison, 2010).</w:t>
      </w:r>
    </w:p>
    <w:p w14:paraId="2C44A57C" w14:textId="77777777" w:rsidR="00D91945" w:rsidRDefault="00D91945" w:rsidP="00D91945">
      <w:r w:rsidRPr="0045016B">
        <w:tab/>
        <w:t xml:space="preserve">While all this may be necessary, there is the opposite assumption that a researcher who becomes a "participant" cannot maintain the ability to capture and acknowledge the larger picture. Instead, the ethnographer may absorb the experience of events and </w:t>
      </w:r>
      <w:r>
        <w:t>may not have the ability to</w:t>
      </w:r>
      <w:r w:rsidRPr="0045016B">
        <w:t xml:space="preserve"> remain objective once they have immersed themselves in the study</w:t>
      </w:r>
      <w:r>
        <w:t xml:space="preserve"> over </w:t>
      </w:r>
      <w:proofErr w:type="gramStart"/>
      <w:r>
        <w:t>a period of time</w:t>
      </w:r>
      <w:proofErr w:type="gramEnd"/>
      <w:r w:rsidRPr="0045016B">
        <w:t xml:space="preserve">. This </w:t>
      </w:r>
      <w:r>
        <w:t xml:space="preserve">can </w:t>
      </w:r>
      <w:r w:rsidRPr="0045016B">
        <w:t>occur when concentrated experiences and emotions have actively ensued over a prolonged</w:t>
      </w:r>
      <w:r>
        <w:t xml:space="preserve"> time</w:t>
      </w:r>
      <w:r w:rsidRPr="0045016B">
        <w:t xml:space="preserve"> period. The first-hand experience of the ethnographer can change the long-term perception of their environment when they continue to act as a participant-observer </w:t>
      </w:r>
      <w:r>
        <w:t>long term (Ladner, 2014; Murchison, 2010)</w:t>
      </w:r>
      <w:r w:rsidRPr="0045016B">
        <w:t>.</w:t>
      </w:r>
    </w:p>
    <w:p w14:paraId="608D59F7" w14:textId="77777777" w:rsidR="00D91945" w:rsidRPr="0045016B" w:rsidRDefault="00D91945" w:rsidP="00D91945"/>
    <w:p w14:paraId="29C1435B" w14:textId="77777777" w:rsidR="00D91945" w:rsidRPr="00646100" w:rsidRDefault="00D91945" w:rsidP="00D91945">
      <w:pPr>
        <w:pStyle w:val="Heading2"/>
        <w:spacing w:before="0"/>
      </w:pPr>
      <w:r w:rsidRPr="00646100">
        <w:t xml:space="preserve">The Importance of </w:t>
      </w:r>
      <w:r>
        <w:t xml:space="preserve">Allocating Sufficient </w:t>
      </w:r>
      <w:r w:rsidRPr="00646100">
        <w:t>Time</w:t>
      </w:r>
    </w:p>
    <w:p w14:paraId="5365B304" w14:textId="176654A0" w:rsidR="00D91945" w:rsidRDefault="00D91945" w:rsidP="00D91945">
      <w:r>
        <w:tab/>
      </w:r>
      <w:r w:rsidRPr="0052636E">
        <w:t xml:space="preserve">Ethnographic research methods require the participant-observer to spend considerable time at their field site. </w:t>
      </w:r>
      <w:r>
        <w:t xml:space="preserve">Ethnography happens over a period of weeks, months, or years. </w:t>
      </w:r>
      <w:r w:rsidRPr="0052636E">
        <w:lastRenderedPageBreak/>
        <w:t xml:space="preserve">Spending time in the field helps facilitate better data collection and helps the ethnographer develop a deeper sense of the events or culture under investigation. </w:t>
      </w:r>
      <w:r>
        <w:t xml:space="preserve">During an ethnographic study, participant-observation allows the researcher to meet with and speak to all levels of employees or members of society, not just a select few chosen by leadership ranks. </w:t>
      </w:r>
      <w:r w:rsidRPr="0052636E">
        <w:t xml:space="preserve">Most times there is a direct correlation between the quality of the study </w:t>
      </w:r>
      <w:r>
        <w:t xml:space="preserve">when </w:t>
      </w:r>
      <w:r w:rsidRPr="0052636E">
        <w:t xml:space="preserve">compared with the amount of time spent in the field. It has been </w:t>
      </w:r>
      <w:r>
        <w:t>noted though</w:t>
      </w:r>
      <w:r w:rsidRPr="0052636E">
        <w:t xml:space="preserve"> that over time the research relationship evolves as participants become more familiar with the study and comfortable with the relationship they have formed with the ethnographer</w:t>
      </w:r>
      <w:r>
        <w:t xml:space="preserve"> (Geertz, 2000; Murchison, 2010; </w:t>
      </w:r>
      <w:proofErr w:type="spellStart"/>
      <w:r>
        <w:t>Tombro</w:t>
      </w:r>
      <w:proofErr w:type="spellEnd"/>
      <w:r>
        <w:t>, 2016)</w:t>
      </w:r>
      <w:r w:rsidRPr="0052636E">
        <w:t>. Therefore, allowing for extra time necessitates that the ethnographer plan</w:t>
      </w:r>
      <w:r>
        <w:t>s</w:t>
      </w:r>
      <w:r w:rsidRPr="0052636E">
        <w:t xml:space="preserve"> </w:t>
      </w:r>
      <w:r>
        <w:t xml:space="preserve">their project timing and deadlines </w:t>
      </w:r>
      <w:r w:rsidRPr="0052636E">
        <w:t>carefully to allow for a full investigation</w:t>
      </w:r>
      <w:r>
        <w:t xml:space="preserve"> of the phenomena</w:t>
      </w:r>
      <w:r w:rsidRPr="0052636E">
        <w:t xml:space="preserve"> under consideration.</w:t>
      </w:r>
    </w:p>
    <w:p w14:paraId="7F9175F1" w14:textId="77777777" w:rsidR="00D91945" w:rsidRPr="0052636E" w:rsidRDefault="00D91945" w:rsidP="00D91945">
      <w:r>
        <w:tab/>
      </w:r>
      <w:r w:rsidRPr="0052636E">
        <w:t xml:space="preserve">Another </w:t>
      </w:r>
      <w:r>
        <w:t>thing to keep in mind</w:t>
      </w:r>
      <w:r w:rsidRPr="0052636E">
        <w:t xml:space="preserve"> is the fact that most of the time ethnographers work under deadlines or departure dates. The goal then should be to ensure that the researcher</w:t>
      </w:r>
      <w:r>
        <w:t>'</w:t>
      </w:r>
      <w:r w:rsidRPr="0052636E">
        <w:t xml:space="preserve">s time is optimized within the structure of these deadlines. </w:t>
      </w:r>
      <w:r>
        <w:t>It has been noted that w</w:t>
      </w:r>
      <w:r w:rsidRPr="0052636E">
        <w:t>hen a researcher first chooses to use the ethnographic method</w:t>
      </w:r>
      <w:r>
        <w:t xml:space="preserve"> and has not developed enough experience with this approach,</w:t>
      </w:r>
      <w:r w:rsidRPr="0052636E">
        <w:t xml:space="preserve"> they </w:t>
      </w:r>
      <w:r>
        <w:t>may</w:t>
      </w:r>
      <w:r w:rsidRPr="0052636E">
        <w:t xml:space="preserve"> delay the start of the participant-observation process.</w:t>
      </w:r>
      <w:r>
        <w:t xml:space="preserve"> This stems from a real lack of knowledge on what to expect from the process and how to approach the social nature of the study (Averill, 2006; </w:t>
      </w:r>
      <w:proofErr w:type="spellStart"/>
      <w:r>
        <w:t>Tombro</w:t>
      </w:r>
      <w:proofErr w:type="spellEnd"/>
      <w:r>
        <w:t>, 2016).</w:t>
      </w:r>
      <w:r w:rsidRPr="0052636E">
        <w:t xml:space="preserve"> The</w:t>
      </w:r>
      <w:r>
        <w:t xml:space="preserve"> ethnographer</w:t>
      </w:r>
      <w:r w:rsidRPr="0052636E">
        <w:t xml:space="preserve"> may even stall fieldwork due to apprehension or a lack of confidence. However, procrastination is detrimental to an ethnographer's research study because precious time is lost. This can result in reduced research opportunities and outcomes.</w:t>
      </w:r>
      <w:r>
        <w:t xml:space="preserve"> It is important to remember that planning and timing are critical aspects of any successful ethnographic venture.</w:t>
      </w:r>
    </w:p>
    <w:p w14:paraId="0A66A86C" w14:textId="77777777" w:rsidR="00D91945" w:rsidRPr="0045016B" w:rsidRDefault="00D91945" w:rsidP="00D91945"/>
    <w:p w14:paraId="1F57F31B" w14:textId="77777777" w:rsidR="00D91945" w:rsidRDefault="00D91945" w:rsidP="00D91945">
      <w:pPr>
        <w:pStyle w:val="Heading2"/>
        <w:spacing w:before="0"/>
      </w:pPr>
      <w:r w:rsidRPr="00F007C5">
        <w:t>Communicating with Participants to Execute the Research Process</w:t>
      </w:r>
    </w:p>
    <w:p w14:paraId="0C160B4F" w14:textId="77777777" w:rsidR="00D91945" w:rsidRPr="00447674" w:rsidRDefault="00D91945" w:rsidP="00D91945">
      <w:r>
        <w:tab/>
        <w:t xml:space="preserve">The ethnographer </w:t>
      </w:r>
      <w:r w:rsidRPr="00447674">
        <w:t>put</w:t>
      </w:r>
      <w:r>
        <w:t xml:space="preserve">s </w:t>
      </w:r>
      <w:r w:rsidRPr="00447674">
        <w:t>a lot of work into th</w:t>
      </w:r>
      <w:r>
        <w:t>eir</w:t>
      </w:r>
      <w:r w:rsidRPr="00447674">
        <w:t xml:space="preserve"> project and start</w:t>
      </w:r>
      <w:r>
        <w:t>s out</w:t>
      </w:r>
      <w:r w:rsidRPr="00447674">
        <w:t xml:space="preserve"> with an exciting set of ideas. </w:t>
      </w:r>
      <w:r>
        <w:t>The researcher should</w:t>
      </w:r>
      <w:r w:rsidRPr="00447674">
        <w:t xml:space="preserve"> </w:t>
      </w:r>
      <w:r>
        <w:t>keep in mind that building</w:t>
      </w:r>
      <w:r w:rsidRPr="00447674">
        <w:t xml:space="preserve"> on this </w:t>
      </w:r>
      <w:r>
        <w:t xml:space="preserve">enthusiasm </w:t>
      </w:r>
      <w:r w:rsidRPr="00447674">
        <w:t>during the first stages</w:t>
      </w:r>
      <w:r>
        <w:t xml:space="preserve"> of the research process is an important first step</w:t>
      </w:r>
      <w:r w:rsidRPr="00447674">
        <w:t xml:space="preserve">. </w:t>
      </w:r>
      <w:r>
        <w:t>Participants</w:t>
      </w:r>
      <w:r w:rsidRPr="00447674">
        <w:t xml:space="preserve"> are </w:t>
      </w:r>
      <w:r>
        <w:t>commonly</w:t>
      </w:r>
      <w:r w:rsidRPr="00447674">
        <w:t xml:space="preserve"> perceptive and inquisitive when it comes to ethnographic projects and their purpose</w:t>
      </w:r>
      <w:r>
        <w:t xml:space="preserve"> (</w:t>
      </w:r>
      <w:proofErr w:type="spellStart"/>
      <w:r>
        <w:t>Alasuutari</w:t>
      </w:r>
      <w:proofErr w:type="spellEnd"/>
      <w:r>
        <w:t xml:space="preserve">, 1995; </w:t>
      </w:r>
      <w:proofErr w:type="spellStart"/>
      <w:r>
        <w:t>Tombro</w:t>
      </w:r>
      <w:proofErr w:type="spellEnd"/>
      <w:r>
        <w:t xml:space="preserve">, 2016; Van </w:t>
      </w:r>
      <w:proofErr w:type="spellStart"/>
      <w:r>
        <w:t>Maanen</w:t>
      </w:r>
      <w:proofErr w:type="spellEnd"/>
      <w:r>
        <w:t>, 2003)</w:t>
      </w:r>
      <w:r w:rsidRPr="00447674">
        <w:t xml:space="preserve">. You may receive </w:t>
      </w:r>
      <w:r>
        <w:t>countless</w:t>
      </w:r>
      <w:r w:rsidRPr="00447674">
        <w:t xml:space="preserve"> questions about your </w:t>
      </w:r>
      <w:r>
        <w:t xml:space="preserve">research </w:t>
      </w:r>
      <w:r w:rsidRPr="00447674">
        <w:t xml:space="preserve">project including </w:t>
      </w:r>
      <w:r>
        <w:t>queries</w:t>
      </w:r>
      <w:r w:rsidRPr="00447674">
        <w:t xml:space="preserve"> about </w:t>
      </w:r>
      <w:r>
        <w:t>how</w:t>
      </w:r>
      <w:r w:rsidRPr="00447674">
        <w:t xml:space="preserve"> the idea</w:t>
      </w:r>
      <w:r>
        <w:t xml:space="preserve"> to organize the study</w:t>
      </w:r>
      <w:r w:rsidRPr="00447674">
        <w:t xml:space="preserve"> originated, </w:t>
      </w:r>
      <w:r>
        <w:t xml:space="preserve">what </w:t>
      </w:r>
      <w:r w:rsidRPr="00447674">
        <w:t>the utility of the project</w:t>
      </w:r>
      <w:r>
        <w:t xml:space="preserve"> is</w:t>
      </w:r>
      <w:r w:rsidRPr="00447674">
        <w:t xml:space="preserve">, </w:t>
      </w:r>
      <w:r>
        <w:t>why this</w:t>
      </w:r>
      <w:r w:rsidRPr="00447674">
        <w:t xml:space="preserve"> audience, </w:t>
      </w:r>
      <w:r>
        <w:t>or</w:t>
      </w:r>
      <w:r w:rsidRPr="00447674">
        <w:t xml:space="preserve"> why you </w:t>
      </w:r>
      <w:r>
        <w:t>chose to evaluate this environment rather than</w:t>
      </w:r>
      <w:r w:rsidRPr="00447674">
        <w:t xml:space="preserve"> another. </w:t>
      </w:r>
      <w:r>
        <w:t>As a research expert, the investigator must</w:t>
      </w:r>
      <w:r w:rsidRPr="00447674">
        <w:t xml:space="preserve"> be prepared to answer these questions</w:t>
      </w:r>
      <w:r>
        <w:t xml:space="preserve"> and</w:t>
      </w:r>
      <w:r w:rsidRPr="00447674">
        <w:t xml:space="preserve"> to </w:t>
      </w:r>
      <w:r>
        <w:t>clarify</w:t>
      </w:r>
      <w:r w:rsidRPr="00447674">
        <w:t xml:space="preserve"> your </w:t>
      </w:r>
      <w:r>
        <w:t>commitment to the process</w:t>
      </w:r>
      <w:r w:rsidRPr="00447674">
        <w:t xml:space="preserve">. </w:t>
      </w:r>
      <w:r>
        <w:t>As a researcher, you will likely</w:t>
      </w:r>
      <w:r w:rsidRPr="00447674">
        <w:t xml:space="preserve"> have </w:t>
      </w:r>
      <w:proofErr w:type="gramStart"/>
      <w:r>
        <w:t>fairly</w:t>
      </w:r>
      <w:r w:rsidRPr="00447674">
        <w:t xml:space="preserve"> </w:t>
      </w:r>
      <w:r>
        <w:t>lengthy</w:t>
      </w:r>
      <w:proofErr w:type="gramEnd"/>
      <w:r w:rsidRPr="00447674">
        <w:t xml:space="preserve"> </w:t>
      </w:r>
      <w:r>
        <w:t>responses</w:t>
      </w:r>
      <w:r w:rsidRPr="00447674">
        <w:t xml:space="preserve"> to the questions </w:t>
      </w:r>
      <w:r>
        <w:t>delivered</w:t>
      </w:r>
      <w:r w:rsidRPr="00447674">
        <w:t xml:space="preserve">, but you should also be ready to provide relatively short versions of the answers </w:t>
      </w:r>
      <w:r>
        <w:t>as well (Murchison, 2010)</w:t>
      </w:r>
      <w:r w:rsidRPr="00447674">
        <w:t xml:space="preserve">. </w:t>
      </w:r>
    </w:p>
    <w:p w14:paraId="44BC8787" w14:textId="77777777" w:rsidR="00D91945" w:rsidRDefault="00D91945" w:rsidP="00D91945"/>
    <w:p w14:paraId="0FA817DE" w14:textId="77777777" w:rsidR="00D91945" w:rsidRPr="005B7704" w:rsidRDefault="00D91945" w:rsidP="00D91945">
      <w:pPr>
        <w:pStyle w:val="Heading2"/>
        <w:spacing w:before="0"/>
      </w:pPr>
      <w:r w:rsidRPr="005B7704">
        <w:t xml:space="preserve">Avoiding </w:t>
      </w:r>
      <w:r>
        <w:t>Deceptiveness</w:t>
      </w:r>
      <w:r w:rsidRPr="005B7704">
        <w:t xml:space="preserve"> and </w:t>
      </w:r>
      <w:r>
        <w:t>Misrepresentation</w:t>
      </w:r>
      <w:r w:rsidRPr="005B7704">
        <w:t xml:space="preserve"> </w:t>
      </w:r>
    </w:p>
    <w:p w14:paraId="5C8F2D04" w14:textId="4BC93ABE" w:rsidR="00D91945" w:rsidRDefault="00D91945" w:rsidP="00D91945">
      <w:r>
        <w:tab/>
      </w:r>
      <w:r w:rsidRPr="00646100">
        <w:t xml:space="preserve">We have already learned that deception and </w:t>
      </w:r>
      <w:r>
        <w:t>misrepresentation</w:t>
      </w:r>
      <w:r w:rsidRPr="00646100">
        <w:t xml:space="preserve"> are not acceptable practices. </w:t>
      </w:r>
      <w:r w:rsidRPr="00F91447">
        <w:t>When you begin</w:t>
      </w:r>
      <w:r>
        <w:t xml:space="preserve"> your field research</w:t>
      </w:r>
      <w:r w:rsidRPr="00F91447">
        <w:t>, you should keep in mind the importance of avoiding miscommunication and deception</w:t>
      </w:r>
      <w:r>
        <w:t xml:space="preserve"> with the process</w:t>
      </w:r>
      <w:r w:rsidRPr="00F91447">
        <w:t xml:space="preserve"> and </w:t>
      </w:r>
      <w:r>
        <w:t xml:space="preserve">to </w:t>
      </w:r>
      <w:r w:rsidRPr="00F91447">
        <w:t xml:space="preserve">demonstrate </w:t>
      </w:r>
      <w:r>
        <w:t>a</w:t>
      </w:r>
      <w:r w:rsidRPr="00F91447">
        <w:t xml:space="preserve"> </w:t>
      </w:r>
      <w:r>
        <w:t>sincere</w:t>
      </w:r>
      <w:r w:rsidRPr="00F91447">
        <w:t xml:space="preserve"> interest in the phenomena </w:t>
      </w:r>
      <w:r>
        <w:t>under investigation to your participants (Bryman, 2004; Murchison, 2010)</w:t>
      </w:r>
      <w:r w:rsidRPr="00F91447">
        <w:t xml:space="preserve">. To get participants to fully engage in the process and assist you with your research, you </w:t>
      </w:r>
      <w:r>
        <w:t>should</w:t>
      </w:r>
      <w:r w:rsidRPr="00F91447">
        <w:t xml:space="preserve"> be able to explain and your own interest</w:t>
      </w:r>
      <w:r>
        <w:t xml:space="preserve"> with clear examples</w:t>
      </w:r>
      <w:r w:rsidRPr="00F91447">
        <w:t xml:space="preserve">. </w:t>
      </w:r>
      <w:r>
        <w:t>The ethnographer</w:t>
      </w:r>
      <w:r w:rsidRPr="00F91447">
        <w:t xml:space="preserve"> know</w:t>
      </w:r>
      <w:r>
        <w:t>s</w:t>
      </w:r>
      <w:r w:rsidRPr="00F91447">
        <w:t xml:space="preserve"> </w:t>
      </w:r>
      <w:r w:rsidRPr="00F91447">
        <w:lastRenderedPageBreak/>
        <w:t>that potential participants</w:t>
      </w:r>
      <w:r>
        <w:t xml:space="preserve"> are acknowledging the study if they</w:t>
      </w:r>
      <w:r w:rsidRPr="00F91447">
        <w:t xml:space="preserve"> tell you </w:t>
      </w:r>
      <w:r>
        <w:t xml:space="preserve">that </w:t>
      </w:r>
      <w:r w:rsidRPr="00F91447">
        <w:t xml:space="preserve">they are excited and committed to the process. </w:t>
      </w:r>
    </w:p>
    <w:p w14:paraId="7BBEE551" w14:textId="77777777" w:rsidR="00D91945" w:rsidRPr="00F91447" w:rsidRDefault="00D91945" w:rsidP="00D91945">
      <w:r>
        <w:tab/>
      </w:r>
      <w:r w:rsidRPr="00F91447">
        <w:t>The main thing to remember is</w:t>
      </w:r>
      <w:r>
        <w:t xml:space="preserve"> to</w:t>
      </w:r>
      <w:r w:rsidRPr="00F91447">
        <w:t xml:space="preserve"> </w:t>
      </w:r>
      <w:r>
        <w:t>exhibit</w:t>
      </w:r>
      <w:r w:rsidRPr="00F91447">
        <w:t xml:space="preserve"> your own genuine interest </w:t>
      </w:r>
      <w:r>
        <w:t>in</w:t>
      </w:r>
      <w:r w:rsidRPr="00F91447">
        <w:t xml:space="preserve"> the process. It is </w:t>
      </w:r>
      <w:r>
        <w:t>important</w:t>
      </w:r>
      <w:r w:rsidRPr="00F91447">
        <w:t xml:space="preserve"> to communicate </w:t>
      </w:r>
      <w:r>
        <w:t xml:space="preserve">fully </w:t>
      </w:r>
      <w:r w:rsidRPr="00F91447">
        <w:t xml:space="preserve">to your participants </w:t>
      </w:r>
      <w:r>
        <w:t xml:space="preserve">about </w:t>
      </w:r>
      <w:r w:rsidRPr="00F91447">
        <w:t xml:space="preserve">the sacrifices both of you </w:t>
      </w:r>
      <w:r>
        <w:t>will be</w:t>
      </w:r>
      <w:r w:rsidRPr="00F91447">
        <w:t xml:space="preserve"> making throughout the process. This can be achieved by spending time to</w:t>
      </w:r>
      <w:r>
        <w:t xml:space="preserve"> educate and</w:t>
      </w:r>
      <w:r w:rsidRPr="00F91447">
        <w:t xml:space="preserve"> </w:t>
      </w:r>
      <w:r>
        <w:t xml:space="preserve">communicate with participants about </w:t>
      </w:r>
      <w:r w:rsidRPr="00F91447">
        <w:t>the process prior to getting started.</w:t>
      </w:r>
      <w:r>
        <w:t xml:space="preserve"> </w:t>
      </w:r>
      <w:r w:rsidRPr="00F91447">
        <w:t xml:space="preserve">When </w:t>
      </w:r>
      <w:r>
        <w:t>participants</w:t>
      </w:r>
      <w:r w:rsidRPr="00F91447">
        <w:t xml:space="preserve"> understand the </w:t>
      </w:r>
      <w:r>
        <w:t>reasoning</w:t>
      </w:r>
      <w:r w:rsidRPr="00F91447">
        <w:t xml:space="preserve"> behind the project, they are more likely to </w:t>
      </w:r>
      <w:r>
        <w:t>understand the</w:t>
      </w:r>
      <w:r w:rsidRPr="00F91447">
        <w:t xml:space="preserve"> potential </w:t>
      </w:r>
      <w:r>
        <w:t>advantages</w:t>
      </w:r>
      <w:r w:rsidRPr="00F91447">
        <w:t xml:space="preserve"> that </w:t>
      </w:r>
      <w:r>
        <w:t>complement</w:t>
      </w:r>
      <w:r w:rsidRPr="00F91447">
        <w:t xml:space="preserve"> your </w:t>
      </w:r>
      <w:r>
        <w:t>research process</w:t>
      </w:r>
      <w:r w:rsidRPr="00F91447">
        <w:t xml:space="preserve"> and become support</w:t>
      </w:r>
      <w:r>
        <w:t>ive</w:t>
      </w:r>
      <w:r w:rsidRPr="00F91447">
        <w:t xml:space="preserve"> within the </w:t>
      </w:r>
      <w:r>
        <w:t>group</w:t>
      </w:r>
      <w:r w:rsidRPr="00F91447">
        <w:t xml:space="preserve"> or social unit. </w:t>
      </w:r>
      <w:r>
        <w:t>When explaining your research process</w:t>
      </w:r>
      <w:r w:rsidRPr="00F91447">
        <w:t xml:space="preserve"> in </w:t>
      </w:r>
      <w:r>
        <w:t>diverse</w:t>
      </w:r>
      <w:r w:rsidRPr="00F91447">
        <w:t xml:space="preserve"> situations, you may </w:t>
      </w:r>
      <w:r>
        <w:t>discover</w:t>
      </w:r>
      <w:r w:rsidRPr="00F91447">
        <w:t xml:space="preserve"> that the explanations </w:t>
      </w:r>
      <w:r>
        <w:t xml:space="preserve">can lead </w:t>
      </w:r>
      <w:r w:rsidRPr="00F91447">
        <w:t xml:space="preserve">to interesting conversations that help shape or even </w:t>
      </w:r>
      <w:r>
        <w:t>sometimes</w:t>
      </w:r>
      <w:r w:rsidRPr="00F91447">
        <w:t xml:space="preserve"> redirect the project. This exchange is part of the engaged nature of ethnographic research</w:t>
      </w:r>
      <w:r>
        <w:t xml:space="preserve"> (Geertz, 2003; Murchison, 2010)</w:t>
      </w:r>
      <w:r w:rsidRPr="00F91447">
        <w:t xml:space="preserve">. </w:t>
      </w:r>
    </w:p>
    <w:p w14:paraId="65703FB9" w14:textId="77777777" w:rsidR="00D91945" w:rsidRDefault="00D91945" w:rsidP="00D91945"/>
    <w:p w14:paraId="1E497A3F" w14:textId="77777777" w:rsidR="00D91945" w:rsidRPr="00DB69F6" w:rsidRDefault="00D91945" w:rsidP="00D91945">
      <w:pPr>
        <w:pStyle w:val="Heading2"/>
        <w:spacing w:before="0"/>
      </w:pPr>
      <w:r>
        <w:t>Getting Started</w:t>
      </w:r>
    </w:p>
    <w:p w14:paraId="4804422C" w14:textId="01DF62D8" w:rsidR="00D91945" w:rsidRDefault="00D91945" w:rsidP="00D91945">
      <w:r>
        <w:tab/>
        <w:t xml:space="preserve">Getting ready to enter the field or environment under investigation, it is important to be prepared for the unknown. In ethnographic research, there can be many unknowns, so how does one prepare for this? </w:t>
      </w:r>
      <w:r w:rsidRPr="00DB69F6">
        <w:t xml:space="preserve">When deciding how to </w:t>
      </w:r>
      <w:r>
        <w:t>approach</w:t>
      </w:r>
      <w:r w:rsidRPr="00DB69F6">
        <w:t xml:space="preserve"> a research project, many researchers turn to research books and journals found in their local librar</w:t>
      </w:r>
      <w:r>
        <w:t>ies</w:t>
      </w:r>
      <w:r w:rsidRPr="00DB69F6">
        <w:t xml:space="preserve"> or bookstores. The most important thing to remember when approaching ethnographic research is to just get started</w:t>
      </w:r>
      <w:r>
        <w:t>!</w:t>
      </w:r>
      <w:r w:rsidRPr="00DB69F6">
        <w:t xml:space="preserve"> Once your research begins, it will reduce much of the fear and apprehension of observing living participants</w:t>
      </w:r>
      <w:r>
        <w:t xml:space="preserve"> (Ladner, 2014; Murchison, 2010; </w:t>
      </w:r>
      <w:proofErr w:type="spellStart"/>
      <w:r>
        <w:t>Tombro</w:t>
      </w:r>
      <w:proofErr w:type="spellEnd"/>
      <w:r>
        <w:t>, 2016)</w:t>
      </w:r>
      <w:r w:rsidRPr="00DB69F6">
        <w:t>. If you have decided to go into the field where you are a non-native, either in your appearance or in speaking the language, you may feel out of place. Keep</w:t>
      </w:r>
      <w:r>
        <w:t>ing</w:t>
      </w:r>
      <w:r w:rsidRPr="00DB69F6">
        <w:t xml:space="preserve"> in mind that the first step in</w:t>
      </w:r>
      <w:r>
        <w:t xml:space="preserve"> the</w:t>
      </w:r>
      <w:r w:rsidRPr="00DB69F6">
        <w:t xml:space="preserve"> ethnographic research </w:t>
      </w:r>
      <w:r>
        <w:t xml:space="preserve">process </w:t>
      </w:r>
      <w:r w:rsidRPr="00DB69F6">
        <w:t>is usually the most difficult</w:t>
      </w:r>
      <w:r>
        <w:t xml:space="preserve"> </w:t>
      </w:r>
      <w:r w:rsidRPr="00DB69F6">
        <w:t xml:space="preserve">will </w:t>
      </w:r>
      <w:r>
        <w:t>help</w:t>
      </w:r>
      <w:r w:rsidRPr="00DB69F6">
        <w:t xml:space="preserve"> the ethnographer </w:t>
      </w:r>
      <w:r>
        <w:t>alleviate stress and launch the process</w:t>
      </w:r>
      <w:r w:rsidRPr="00DB69F6">
        <w:t>.</w:t>
      </w:r>
    </w:p>
    <w:p w14:paraId="437B9F29" w14:textId="71DFA772" w:rsidR="00D91945" w:rsidRDefault="00D91945" w:rsidP="00D91945">
      <w:r>
        <w:tab/>
      </w:r>
      <w:r w:rsidRPr="00DB69F6">
        <w:t>Something to consider when preparing for your research project is to make sure you have a well-developed research plan prior to beginning your research</w:t>
      </w:r>
      <w:r>
        <w:t xml:space="preserve"> (Bryman, 2004; Creswell, 1994; Murchison, 2010; </w:t>
      </w:r>
      <w:proofErr w:type="spellStart"/>
      <w:r>
        <w:t>Tombro</w:t>
      </w:r>
      <w:proofErr w:type="spellEnd"/>
      <w:r>
        <w:t>, 2016)</w:t>
      </w:r>
      <w:r w:rsidRPr="00DB69F6">
        <w:t xml:space="preserve">. Having a well thought out and prepared research plan allows the ethnographer to feel </w:t>
      </w:r>
      <w:r>
        <w:t>better</w:t>
      </w:r>
      <w:r w:rsidRPr="00DB69F6">
        <w:t xml:space="preserve"> prepared </w:t>
      </w:r>
      <w:r>
        <w:t xml:space="preserve">to face the research process </w:t>
      </w:r>
      <w:r w:rsidRPr="00DB69F6">
        <w:t>and can reduce some of the uncertainty they may feel. The ethnographer's participant-observer role relinquishes a lot of the control over to the research environment</w:t>
      </w:r>
      <w:r>
        <w:t xml:space="preserve"> and participants at hand</w:t>
      </w:r>
      <w:r w:rsidRPr="00DB69F6">
        <w:t xml:space="preserve">. This is something that the ethnographer must reconcile </w:t>
      </w:r>
      <w:r>
        <w:t>amongst</w:t>
      </w:r>
      <w:r w:rsidRPr="00DB69F6">
        <w:t xml:space="preserve"> the preparation in the research plan and its implementation.</w:t>
      </w:r>
    </w:p>
    <w:p w14:paraId="7895B0DF" w14:textId="77777777" w:rsidR="00D91945" w:rsidRDefault="00D91945" w:rsidP="00D91945">
      <w:r>
        <w:tab/>
      </w:r>
      <w:r w:rsidRPr="00DB69F6">
        <w:t xml:space="preserve">Equally important to note is confronting the pressure involved with conducting your research project in a familiar environment. If this is the case, the ethnographer performs the research in a familiar place. If </w:t>
      </w:r>
      <w:proofErr w:type="gramStart"/>
      <w:r w:rsidRPr="00DB69F6">
        <w:t>so</w:t>
      </w:r>
      <w:proofErr w:type="gramEnd"/>
      <w:r>
        <w:t xml:space="preserve"> </w:t>
      </w:r>
      <w:r w:rsidRPr="00DB69F6">
        <w:t>the</w:t>
      </w:r>
      <w:r>
        <w:t xml:space="preserve"> researcher</w:t>
      </w:r>
      <w:r w:rsidRPr="00DB69F6">
        <w:t xml:space="preserve"> may face various expectations from participants that could create a sense of apprehension about </w:t>
      </w:r>
      <w:r>
        <w:t>their</w:t>
      </w:r>
      <w:r w:rsidRPr="00DB69F6">
        <w:t xml:space="preserve"> own role as researcher. The preliminary stage of your research is important because it sets the tone for the research that follows. It also creates first impressions that can be hard to change</w:t>
      </w:r>
      <w:r>
        <w:t xml:space="preserve"> </w:t>
      </w:r>
      <w:r w:rsidRPr="00FB29B3">
        <w:t>(Creswell, 1994; Ladner, 2014)</w:t>
      </w:r>
      <w:r w:rsidRPr="00DB69F6">
        <w:t>. It is important to note that facing these fears head on will help guard against stalling your project and instead get you started.  It is important to note that getting started is the biggest hurdle to overcome. Once the process has begun and you have completed your first participant-observation, you will discover that your stress is alleviated and that the process will become easier moving forward.</w:t>
      </w:r>
      <w:r>
        <w:t xml:space="preserve"> </w:t>
      </w:r>
    </w:p>
    <w:p w14:paraId="21AF5812" w14:textId="77777777" w:rsidR="00D91945" w:rsidRDefault="00D91945" w:rsidP="00D91945"/>
    <w:p w14:paraId="48594685" w14:textId="0B717D86" w:rsidR="00D91945" w:rsidRDefault="00D91945" w:rsidP="00D91945">
      <w:r>
        <w:tab/>
        <w:t xml:space="preserve">Fieldwork means being visible to your participants and to personally collect data through hand-written note taking and ethnographic mapping. The ethnographer as participant is always there taking notes, making observations, and acting as the primary research instrument to navigate the complexity of being within the social environment (Ladner, 2014). The use of recording devices </w:t>
      </w:r>
      <w:proofErr w:type="gramStart"/>
      <w:r>
        <w:t>are</w:t>
      </w:r>
      <w:proofErr w:type="gramEnd"/>
      <w:r>
        <w:t xml:space="preserve"> not always a viable option, so the researcher must be prepared to have pen and paper ready at all times. Passive observation within a framework of active participation makes the whole process a delicate balance to reconcile between observer and participant.</w:t>
      </w:r>
    </w:p>
    <w:p w14:paraId="23F33D0D" w14:textId="77777777" w:rsidR="00D91945" w:rsidRDefault="00D91945" w:rsidP="00D91945">
      <w:r>
        <w:tab/>
        <w:t xml:space="preserve">It is also important to remember that at the beginning of the process, most participants will be curious and excited to begin. It is imperative to build upon this beginner's enthusiasm to capture the trust and cooperation of the participants and to also maintain momentum as your move forward. </w:t>
      </w:r>
      <w:r w:rsidRPr="00670561">
        <w:t xml:space="preserve">As </w:t>
      </w:r>
      <w:r>
        <w:t>the</w:t>
      </w:r>
      <w:r w:rsidRPr="00670561">
        <w:t xml:space="preserve"> research expert, the </w:t>
      </w:r>
      <w:r>
        <w:t>ethnographer should</w:t>
      </w:r>
      <w:r w:rsidRPr="00447674">
        <w:t xml:space="preserve"> be prepared to </w:t>
      </w:r>
      <w:r>
        <w:t>respond to</w:t>
      </w:r>
      <w:r w:rsidRPr="00447674">
        <w:t xml:space="preserve"> questions</w:t>
      </w:r>
      <w:r w:rsidRPr="00670561">
        <w:t xml:space="preserve"> and</w:t>
      </w:r>
      <w:r w:rsidRPr="00447674">
        <w:t xml:space="preserve"> </w:t>
      </w:r>
      <w:r>
        <w:t>be able to</w:t>
      </w:r>
      <w:r w:rsidRPr="00447674">
        <w:t xml:space="preserve"> </w:t>
      </w:r>
      <w:r>
        <w:t>explain</w:t>
      </w:r>
      <w:r w:rsidRPr="00447674">
        <w:t xml:space="preserve"> your </w:t>
      </w:r>
      <w:r>
        <w:t>dedication</w:t>
      </w:r>
      <w:r w:rsidRPr="00670561">
        <w:t xml:space="preserve"> to the process</w:t>
      </w:r>
      <w:r w:rsidRPr="00447674">
        <w:t xml:space="preserve">. </w:t>
      </w:r>
      <w:r>
        <w:t>A</w:t>
      </w:r>
      <w:r w:rsidRPr="00670561">
        <w:t xml:space="preserve"> researcher</w:t>
      </w:r>
      <w:r>
        <w:t xml:space="preserve"> should prepare both</w:t>
      </w:r>
      <w:r w:rsidRPr="00447674">
        <w:t xml:space="preserve"> </w:t>
      </w:r>
      <w:r>
        <w:t>longer or shorter</w:t>
      </w:r>
      <w:r w:rsidRPr="00447674">
        <w:t xml:space="preserve"> </w:t>
      </w:r>
      <w:r w:rsidRPr="00670561">
        <w:t>responses</w:t>
      </w:r>
      <w:r w:rsidRPr="00447674">
        <w:t xml:space="preserve"> to the </w:t>
      </w:r>
      <w:r>
        <w:t xml:space="preserve">possible </w:t>
      </w:r>
      <w:r w:rsidRPr="00447674">
        <w:t xml:space="preserve">questions </w:t>
      </w:r>
      <w:r>
        <w:t>asked due to differences in time constraints and the audience at hand</w:t>
      </w:r>
      <w:r w:rsidRPr="00670561">
        <w:t xml:space="preserve"> (Murchison, 2010</w:t>
      </w:r>
      <w:r>
        <w:t xml:space="preserve">; Van </w:t>
      </w:r>
      <w:proofErr w:type="spellStart"/>
      <w:r>
        <w:t>Mannen</w:t>
      </w:r>
      <w:proofErr w:type="spellEnd"/>
      <w:r>
        <w:t>, 2003</w:t>
      </w:r>
      <w:r w:rsidRPr="00670561">
        <w:t>)</w:t>
      </w:r>
      <w:r w:rsidRPr="00447674">
        <w:t>.</w:t>
      </w:r>
    </w:p>
    <w:p w14:paraId="4579E24E" w14:textId="77777777" w:rsidR="00D91945" w:rsidRDefault="00D91945" w:rsidP="00D91945"/>
    <w:p w14:paraId="6FEBA838" w14:textId="77777777" w:rsidR="00D91945" w:rsidRDefault="00D91945" w:rsidP="00D91945">
      <w:pPr>
        <w:pStyle w:val="Heading2"/>
        <w:spacing w:before="0"/>
      </w:pPr>
      <w:r>
        <w:t>Routine</w:t>
      </w:r>
      <w:r w:rsidRPr="00646100">
        <w:t xml:space="preserve"> versus </w:t>
      </w:r>
      <w:r>
        <w:t>unexpected</w:t>
      </w:r>
      <w:r w:rsidRPr="00646100">
        <w:t xml:space="preserve"> behavior and conversations</w:t>
      </w:r>
    </w:p>
    <w:p w14:paraId="4F7B034D" w14:textId="1BE93355" w:rsidR="00D91945" w:rsidRDefault="00D91945" w:rsidP="00D91945">
      <w:r>
        <w:tab/>
      </w:r>
      <w:r w:rsidRPr="00912285">
        <w:t>A challenging task in ethnography comes in the form of sorting the routine or regular things observed versus the extraordinary or unique items observed. Many researchers in the past have been drawn to emphasizing the extraordinary discoveries as they made for a better story and captured a more exotic appeal over time. However, the downside to overemphasizing things is that the data collected, which is a primary goal in ethnography, can sometimes lead to being counterproductive as most humans cannot relate to the cultural or social phenomena being documented. Yet, focusing solely on regular or routine aspects of cultural or social phenomena under investigation shifts the focus of the reader to miss important variations between the social lives of different cultures and environments.</w:t>
      </w:r>
    </w:p>
    <w:p w14:paraId="3D3A836E" w14:textId="77777777" w:rsidR="00D91945" w:rsidRPr="00912285" w:rsidRDefault="00D91945" w:rsidP="00D91945">
      <w:r>
        <w:tab/>
      </w:r>
      <w:r w:rsidRPr="00912285">
        <w:t xml:space="preserve">"A good ethnographer recognizes that there are patterns of behavior and shared sets of symbols and structures that shape possibilities" (Murchison, 2010). Identifying distinctive interests and peculiarities and the role that creative and inventive ways social attitudes or conflicts can stimulate significant variety within the way groups interact is also significant. Therefore, the researcher should plan to identify both the regular and the extraordinary aspects of the phenomena under investigation. The outcome of the data collected may emphasize one dimension over another, but they must be reconciled against what needs to be addressed in both the routine </w:t>
      </w:r>
      <w:r>
        <w:t>and</w:t>
      </w:r>
      <w:r w:rsidRPr="00912285">
        <w:t xml:space="preserve"> extraordinary. When conducting participant-observation and writing notes and creating ethnographic maps, you should remember to pay attention to any repetition and to that which is unique.</w:t>
      </w:r>
    </w:p>
    <w:p w14:paraId="08D0E05E" w14:textId="77777777" w:rsidR="00D91945" w:rsidRDefault="00D91945" w:rsidP="00D91945"/>
    <w:p w14:paraId="503C1B9D" w14:textId="77777777" w:rsidR="00D91945" w:rsidRPr="00912285" w:rsidRDefault="00D91945" w:rsidP="00D91945">
      <w:pPr>
        <w:pStyle w:val="Heading2"/>
        <w:spacing w:before="0"/>
      </w:pPr>
      <w:r w:rsidRPr="00912285">
        <w:t>Paying Attention to Repetition</w:t>
      </w:r>
    </w:p>
    <w:p w14:paraId="60BD01F1" w14:textId="5C62F974" w:rsidR="00D91945" w:rsidRDefault="00D91945" w:rsidP="00D91945">
      <w:r>
        <w:tab/>
      </w:r>
      <w:r w:rsidRPr="00912285">
        <w:t xml:space="preserve">In the beginning of the participant-observation the ethnographer will not be able to identify that a particular action or occurrence happens every time or that certain words or symbols always appear until they have been observing long enough to identify multiple similar events or discussions. It is important to keep in mind that being aware of signs of repetition is important from the outset. The researcher must pay attention to things that repeat so that the </w:t>
      </w:r>
      <w:r w:rsidRPr="00912285">
        <w:lastRenderedPageBreak/>
        <w:t>study can proceed as a more functionally effective observation. The faster that the ethnographer grasps the idea of separating out shared practices and customs such as greetings, friendliness, and gracious manners, the more likely he/she</w:t>
      </w:r>
      <w:r>
        <w:t>/they</w:t>
      </w:r>
      <w:r w:rsidRPr="00912285">
        <w:t xml:space="preserve"> will be able to find a degree of acceptance and rapport within the group. </w:t>
      </w:r>
    </w:p>
    <w:p w14:paraId="02B45853" w14:textId="5C08AC1C" w:rsidR="00D91945" w:rsidRDefault="00D91945" w:rsidP="00D91945">
      <w:r w:rsidRPr="00912285">
        <w:tab/>
        <w:t>A lot of the experience gained over time occurs through observation of repetitive practices, any types of imitated behaviors and a bit of trial and error. In situations where the researcher comes to a field site as an obvious outsider</w:t>
      </w:r>
      <w:r>
        <w:t>,</w:t>
      </w:r>
      <w:r w:rsidRPr="00912285">
        <w:t xml:space="preserve"> </w:t>
      </w:r>
      <w:r>
        <w:t>they</w:t>
      </w:r>
      <w:r w:rsidRPr="00912285">
        <w:t xml:space="preserve"> should try to ensure </w:t>
      </w:r>
      <w:r>
        <w:t>their</w:t>
      </w:r>
      <w:r w:rsidRPr="00912285">
        <w:t xml:space="preserve"> first instinct is to observe. That way </w:t>
      </w:r>
      <w:r>
        <w:t>the ethnographer</w:t>
      </w:r>
      <w:r w:rsidRPr="00912285">
        <w:t xml:space="preserve"> </w:t>
      </w:r>
      <w:proofErr w:type="gramStart"/>
      <w:r>
        <w:t>has</w:t>
      </w:r>
      <w:r w:rsidRPr="00912285">
        <w:t xml:space="preserve"> the opportunity to</w:t>
      </w:r>
      <w:proofErr w:type="gramEnd"/>
      <w:r w:rsidRPr="00912285">
        <w:t xml:space="preserve"> observe and learn </w:t>
      </w:r>
      <w:r>
        <w:t xml:space="preserve">the </w:t>
      </w:r>
      <w:r w:rsidRPr="00912285">
        <w:t xml:space="preserve">appropriate manners </w:t>
      </w:r>
      <w:r>
        <w:t>or</w:t>
      </w:r>
      <w:r w:rsidRPr="00912285">
        <w:t xml:space="preserve"> behavior </w:t>
      </w:r>
      <w:r>
        <w:t xml:space="preserve">of </w:t>
      </w:r>
      <w:r w:rsidRPr="00912285">
        <w:t xml:space="preserve">a particular situation to better blend in </w:t>
      </w:r>
      <w:r>
        <w:t xml:space="preserve">with the group </w:t>
      </w:r>
      <w:r w:rsidRPr="00912285">
        <w:t>an</w:t>
      </w:r>
      <w:r>
        <w:t>d</w:t>
      </w:r>
      <w:r w:rsidRPr="00912285">
        <w:t xml:space="preserve"> develop trust among the </w:t>
      </w:r>
      <w:r>
        <w:t>participants</w:t>
      </w:r>
      <w:r w:rsidRPr="00912285">
        <w:t>. Developing a default pause to see how others are reac</w:t>
      </w:r>
      <w:r>
        <w:t>t</w:t>
      </w:r>
      <w:r w:rsidRPr="00912285">
        <w:t xml:space="preserve"> or respond to a </w:t>
      </w:r>
      <w:proofErr w:type="gramStart"/>
      <w:r w:rsidRPr="00912285">
        <w:t>particular situation</w:t>
      </w:r>
      <w:proofErr w:type="gramEnd"/>
      <w:r w:rsidRPr="00912285">
        <w:t xml:space="preserve"> </w:t>
      </w:r>
      <w:r>
        <w:t xml:space="preserve">with help determine </w:t>
      </w:r>
      <w:r w:rsidRPr="00912285">
        <w:t>whether</w:t>
      </w:r>
      <w:r>
        <w:t xml:space="preserve"> a certain behavior or approach </w:t>
      </w:r>
      <w:r w:rsidRPr="00912285">
        <w:t xml:space="preserve">is appropriate for </w:t>
      </w:r>
      <w:r>
        <w:t>the group dynamic</w:t>
      </w:r>
      <w:r w:rsidRPr="00912285">
        <w:t>. Becom</w:t>
      </w:r>
      <w:r>
        <w:t>ing</w:t>
      </w:r>
      <w:r w:rsidRPr="00912285">
        <w:t xml:space="preserve"> </w:t>
      </w:r>
      <w:r>
        <w:t>a</w:t>
      </w:r>
      <w:r w:rsidRPr="00912285">
        <w:t xml:space="preserve"> student who learns through observ</w:t>
      </w:r>
      <w:r>
        <w:t>ation is helpful in determining what is</w:t>
      </w:r>
      <w:r w:rsidRPr="00912285">
        <w:t xml:space="preserve"> acceptable or not </w:t>
      </w:r>
      <w:proofErr w:type="gramStart"/>
      <w:r w:rsidRPr="00912285">
        <w:t>in a given</w:t>
      </w:r>
      <w:proofErr w:type="gramEnd"/>
      <w:r w:rsidRPr="00912285">
        <w:t xml:space="preserve"> situation.</w:t>
      </w:r>
    </w:p>
    <w:p w14:paraId="1B7CBBFE" w14:textId="2F121F3E" w:rsidR="00D91945" w:rsidRDefault="00D91945" w:rsidP="00D91945">
      <w:r w:rsidRPr="00912285">
        <w:tab/>
        <w:t>If the ethnographer is entering a familiar environment, he/she</w:t>
      </w:r>
      <w:r>
        <w:t>/they</w:t>
      </w:r>
      <w:r w:rsidRPr="00912285">
        <w:t xml:space="preserve"> should still pay close attention to repeated behaviors and communications.  The researcher may find that some aspects of a culture or environment become so routine that most participants are no longer consciously aware of their behavior</w:t>
      </w:r>
      <w:r>
        <w:t>s</w:t>
      </w:r>
      <w:r w:rsidRPr="00912285">
        <w:t xml:space="preserve"> or </w:t>
      </w:r>
      <w:r>
        <w:t>actions</w:t>
      </w:r>
      <w:r w:rsidRPr="00912285">
        <w:t>. The process of participant-observation can sometimes reveal that some conventions that exist or certain expectations derived by the researcher about the environment may require that the research perspective may need to change in order to blend in slightly different behaviors, customs, or responses.</w:t>
      </w:r>
    </w:p>
    <w:p w14:paraId="1B44BDEB" w14:textId="77777777" w:rsidR="00D91945" w:rsidRDefault="00D91945" w:rsidP="00D91945">
      <w:r w:rsidRPr="00912285">
        <w:tab/>
        <w:t>Aside from becoming a more effective participant-observer, paying closer attention to details of repetition allows the ethnographer to study the central features of shared cultural and social systems. It is known that individuals repeat things for a reason, which is to say that they are usually important aspects of a culture or society. Therefore, noticing repetitive events, behaviors, phrases, or symbols can shed light on the most important shared social and cultural components of the environment under study.</w:t>
      </w:r>
    </w:p>
    <w:p w14:paraId="37368E27" w14:textId="77777777" w:rsidR="00D91945" w:rsidRDefault="00D91945" w:rsidP="00D91945">
      <w:pPr>
        <w:pStyle w:val="Heading2"/>
        <w:spacing w:before="0"/>
      </w:pPr>
    </w:p>
    <w:p w14:paraId="42F84755" w14:textId="77777777" w:rsidR="00D91945" w:rsidRDefault="00D91945" w:rsidP="00D91945">
      <w:pPr>
        <w:pStyle w:val="Heading2"/>
        <w:spacing w:before="0"/>
      </w:pPr>
      <w:r>
        <w:t>Conclusion</w:t>
      </w:r>
    </w:p>
    <w:p w14:paraId="49D56790" w14:textId="77777777" w:rsidR="00D91945" w:rsidRPr="005F4735" w:rsidRDefault="00D91945" w:rsidP="00D91945">
      <w:r w:rsidRPr="005F4735">
        <w:tab/>
      </w:r>
      <w:r w:rsidRPr="00BE08AB">
        <w:t>In this chapter, we review</w:t>
      </w:r>
      <w:r>
        <w:t>ed</w:t>
      </w:r>
      <w:r w:rsidRPr="00BE08AB">
        <w:t xml:space="preserve"> how to create a foundation for productive participant-observation. W</w:t>
      </w:r>
      <w:r>
        <w:t>ith this knowledge, w</w:t>
      </w:r>
      <w:r w:rsidRPr="00BE08AB">
        <w:t>e can</w:t>
      </w:r>
      <w:r>
        <w:t xml:space="preserve"> start to</w:t>
      </w:r>
      <w:r w:rsidRPr="00BE08AB">
        <w:t xml:space="preserve"> understand how the </w:t>
      </w:r>
      <w:r>
        <w:t xml:space="preserve">participant-observation </w:t>
      </w:r>
      <w:r w:rsidRPr="00BE08AB">
        <w:t>process evolves into a well-detailed research study</w:t>
      </w:r>
      <w:r>
        <w:t>. One</w:t>
      </w:r>
      <w:r w:rsidRPr="00BE08AB">
        <w:t xml:space="preserve"> that accurately reflects what the participant-observer uncover</w:t>
      </w:r>
      <w:r>
        <w:t>ed</w:t>
      </w:r>
      <w:r w:rsidRPr="00BE08AB">
        <w:t xml:space="preserve"> about the environment under investigation (Murchison, 2010; </w:t>
      </w:r>
      <w:proofErr w:type="spellStart"/>
      <w:r w:rsidRPr="00BE08AB">
        <w:t>Tombro</w:t>
      </w:r>
      <w:proofErr w:type="spellEnd"/>
      <w:r w:rsidRPr="00BE08AB">
        <w:t xml:space="preserve">, 2016; Van </w:t>
      </w:r>
      <w:proofErr w:type="spellStart"/>
      <w:r w:rsidRPr="00BE08AB">
        <w:t>Mannen</w:t>
      </w:r>
      <w:proofErr w:type="spellEnd"/>
      <w:r w:rsidRPr="00BE08AB">
        <w:t>, 2003)</w:t>
      </w:r>
      <w:r w:rsidRPr="0030544D">
        <w:t>.</w:t>
      </w:r>
      <w:r>
        <w:t xml:space="preserve"> </w:t>
      </w:r>
      <w:r w:rsidRPr="005F4735">
        <w:t xml:space="preserve">Ethnographic research requires a long-term commitment of weeks, months, or years, and commands the researcher's active interest in the process at hand. </w:t>
      </w:r>
      <w:r>
        <w:t>T</w:t>
      </w:r>
      <w:r w:rsidRPr="005F4735">
        <w:t>his chapter</w:t>
      </w:r>
      <w:r>
        <w:t xml:space="preserve"> also pointed out </w:t>
      </w:r>
      <w:r w:rsidRPr="005F4735">
        <w:t>that the role of participant-observer can be challenging</w:t>
      </w:r>
      <w:r>
        <w:t>. As a participant, the researcher maintains an active role, yet, as an observer, the researcher upholds a passive role. Attempting to reconcile both becomes a challenge. A</w:t>
      </w:r>
      <w:r w:rsidRPr="005F4735">
        <w:t xml:space="preserve">s the ethnographer </w:t>
      </w:r>
      <w:r>
        <w:t>circum</w:t>
      </w:r>
      <w:r w:rsidRPr="005F4735">
        <w:t xml:space="preserve">navigates the research process </w:t>
      </w:r>
      <w:r>
        <w:t>of</w:t>
      </w:r>
      <w:r w:rsidRPr="005F4735">
        <w:t xml:space="preserve"> a socially constructed environment</w:t>
      </w:r>
      <w:r>
        <w:t>, it is important t</w:t>
      </w:r>
      <w:r w:rsidRPr="005F4735">
        <w:t>he</w:t>
      </w:r>
      <w:r>
        <w:t xml:space="preserve">y maintain the </w:t>
      </w:r>
      <w:r w:rsidRPr="005F4735">
        <w:t>ability to communicate effectively with participants</w:t>
      </w:r>
      <w:r>
        <w:t>. Quite often, there is much curiosity and excitement</w:t>
      </w:r>
      <w:r w:rsidRPr="005F4735">
        <w:t xml:space="preserve"> about the reasons </w:t>
      </w:r>
      <w:r>
        <w:t>behind the ethnographer's reasons and choice for the specific research study</w:t>
      </w:r>
      <w:r w:rsidRPr="005F4735">
        <w:t xml:space="preserve"> and </w:t>
      </w:r>
      <w:r>
        <w:t>participants will usually express their excitement at the outset of the project.</w:t>
      </w:r>
      <w:r w:rsidRPr="005F4735">
        <w:t xml:space="preserve"> </w:t>
      </w:r>
      <w:r>
        <w:t>Ensuring good communication and commitment in the beginning of the process helps participants understand the reasons and/or benefits of performing the study. A good explanation and demonstration of commitment on the part of the researcher helps gain</w:t>
      </w:r>
      <w:r w:rsidRPr="005F4735">
        <w:t xml:space="preserve"> </w:t>
      </w:r>
      <w:r w:rsidRPr="005F4735">
        <w:lastRenderedPageBreak/>
        <w:t xml:space="preserve">not only participants' trust but their shared enthusiasm </w:t>
      </w:r>
      <w:r>
        <w:t>too</w:t>
      </w:r>
      <w:r w:rsidRPr="005F4735">
        <w:t xml:space="preserve">. </w:t>
      </w:r>
      <w:r>
        <w:t>Hopefully, this chapter helped both new and seasoned researchers to gain a glimpse into the work involved in the ethnographic method and to</w:t>
      </w:r>
      <w:r w:rsidRPr="005F4735">
        <w:t xml:space="preserve"> understand how the process evolves into a well-detailed research study </w:t>
      </w:r>
      <w:r>
        <w:t>over time</w:t>
      </w:r>
      <w:r w:rsidRPr="005F4735">
        <w:t xml:space="preserve"> (Murchison, 2010; </w:t>
      </w:r>
      <w:proofErr w:type="spellStart"/>
      <w:r w:rsidRPr="005F4735">
        <w:t>Tombro</w:t>
      </w:r>
      <w:proofErr w:type="spellEnd"/>
      <w:r w:rsidRPr="005F4735">
        <w:t xml:space="preserve">, 2016; Van </w:t>
      </w:r>
      <w:proofErr w:type="spellStart"/>
      <w:r w:rsidRPr="005F4735">
        <w:t>Mannen</w:t>
      </w:r>
      <w:proofErr w:type="spellEnd"/>
      <w:r w:rsidRPr="005F4735">
        <w:t>, 2003).</w:t>
      </w:r>
    </w:p>
    <w:p w14:paraId="1AF2D76E" w14:textId="77777777" w:rsidR="00D91945" w:rsidRDefault="00D91945" w:rsidP="00D91945"/>
    <w:p w14:paraId="27985403" w14:textId="77777777" w:rsidR="00D91945" w:rsidRPr="00E52BCD" w:rsidRDefault="00D91945" w:rsidP="00D91945">
      <w:pPr>
        <w:pStyle w:val="Heading2"/>
        <w:spacing w:before="0"/>
      </w:pPr>
      <w:r>
        <w:t>Chapter Overview</w:t>
      </w:r>
    </w:p>
    <w:p w14:paraId="19DBBCDA" w14:textId="77777777" w:rsidR="00D91945" w:rsidRPr="00047917" w:rsidRDefault="00D91945" w:rsidP="00C23CDB">
      <w:pPr>
        <w:pStyle w:val="ListParagraph"/>
        <w:numPr>
          <w:ilvl w:val="0"/>
          <w:numId w:val="36"/>
        </w:numPr>
      </w:pPr>
      <w:r w:rsidRPr="00047917">
        <w:t>Analyze and discuss the delicate balance between participant - observation</w:t>
      </w:r>
      <w:r>
        <w:t xml:space="preserve"> and its contradictory paradox.</w:t>
      </w:r>
    </w:p>
    <w:p w14:paraId="1DE8AECB" w14:textId="77777777" w:rsidR="00D91945" w:rsidRPr="00047917" w:rsidRDefault="00D91945" w:rsidP="00C23CDB">
      <w:pPr>
        <w:pStyle w:val="ListParagraph"/>
        <w:numPr>
          <w:ilvl w:val="0"/>
          <w:numId w:val="36"/>
        </w:numPr>
      </w:pPr>
      <w:r w:rsidRPr="00047917">
        <w:t>How to create a practical approach to combining participation and observation.</w:t>
      </w:r>
    </w:p>
    <w:p w14:paraId="0286730C" w14:textId="77777777" w:rsidR="00D91945" w:rsidRPr="00047917" w:rsidRDefault="00D91945" w:rsidP="00C23CDB">
      <w:pPr>
        <w:pStyle w:val="ListParagraph"/>
        <w:numPr>
          <w:ilvl w:val="0"/>
          <w:numId w:val="36"/>
        </w:numPr>
      </w:pPr>
      <w:r>
        <w:t>The importance of p</w:t>
      </w:r>
      <w:r w:rsidRPr="00047917">
        <w:t xml:space="preserve">lanning </w:t>
      </w:r>
      <w:r>
        <w:t>to ensure successful</w:t>
      </w:r>
      <w:r w:rsidRPr="00047917">
        <w:t xml:space="preserve"> ethnographic fieldwork.</w:t>
      </w:r>
    </w:p>
    <w:p w14:paraId="7AF849E7" w14:textId="77777777" w:rsidR="00D91945" w:rsidRPr="00047917" w:rsidRDefault="00D91945" w:rsidP="00C23CDB">
      <w:pPr>
        <w:pStyle w:val="ListParagraph"/>
        <w:numPr>
          <w:ilvl w:val="0"/>
          <w:numId w:val="36"/>
        </w:numPr>
      </w:pPr>
      <w:r w:rsidRPr="00047917">
        <w:t>Explain why ethnographers depend on participants in research execution.</w:t>
      </w:r>
    </w:p>
    <w:p w14:paraId="22382C1E" w14:textId="77777777" w:rsidR="00D91945" w:rsidRDefault="00D91945" w:rsidP="00C23CDB">
      <w:pPr>
        <w:pStyle w:val="ListParagraph"/>
        <w:numPr>
          <w:ilvl w:val="0"/>
          <w:numId w:val="36"/>
        </w:numPr>
      </w:pPr>
      <w:r>
        <w:t>Discuss the</w:t>
      </w:r>
      <w:r w:rsidRPr="00047917">
        <w:t xml:space="preserve"> importance of </w:t>
      </w:r>
      <w:r>
        <w:t>communicating the</w:t>
      </w:r>
      <w:r w:rsidRPr="00047917">
        <w:t xml:space="preserve"> </w:t>
      </w:r>
      <w:r>
        <w:t>purpose and choice</w:t>
      </w:r>
      <w:r w:rsidRPr="00047917">
        <w:t xml:space="preserve"> of your research</w:t>
      </w:r>
      <w:r>
        <w:t xml:space="preserve"> topic</w:t>
      </w:r>
      <w:r w:rsidRPr="00047917">
        <w:t xml:space="preserve"> with participants</w:t>
      </w:r>
      <w:r>
        <w:t>.</w:t>
      </w:r>
    </w:p>
    <w:p w14:paraId="6001356A" w14:textId="77777777" w:rsidR="00D91945" w:rsidRPr="00047917" w:rsidRDefault="00D91945" w:rsidP="00C23CDB">
      <w:pPr>
        <w:pStyle w:val="ListParagraph"/>
        <w:numPr>
          <w:ilvl w:val="0"/>
          <w:numId w:val="36"/>
        </w:numPr>
      </w:pPr>
      <w:r>
        <w:t>Learn to</w:t>
      </w:r>
      <w:r w:rsidRPr="00047917">
        <w:t xml:space="preserve"> avoid deception in communicati</w:t>
      </w:r>
      <w:r>
        <w:t>ng</w:t>
      </w:r>
      <w:r w:rsidRPr="00047917">
        <w:t xml:space="preserve"> </w:t>
      </w:r>
      <w:r>
        <w:t>your mission with participants</w:t>
      </w:r>
      <w:r w:rsidRPr="00047917">
        <w:t>.</w:t>
      </w:r>
    </w:p>
    <w:p w14:paraId="296B1E64" w14:textId="77777777" w:rsidR="00D91945" w:rsidRPr="00047917" w:rsidRDefault="00D91945" w:rsidP="00C23CDB">
      <w:pPr>
        <w:pStyle w:val="ListParagraph"/>
        <w:numPr>
          <w:ilvl w:val="0"/>
          <w:numId w:val="36"/>
        </w:numPr>
      </w:pPr>
      <w:r w:rsidRPr="00047917">
        <w:t>Understand the importance of noting repeating and dissimilar patterns presented in the course of participant - observation.</w:t>
      </w:r>
    </w:p>
    <w:p w14:paraId="0D79B7F9" w14:textId="77777777" w:rsidR="00D91945" w:rsidRPr="00912285" w:rsidRDefault="00D91945" w:rsidP="00D91945"/>
    <w:p w14:paraId="1193968A" w14:textId="77777777" w:rsidR="00D91945" w:rsidRPr="0089281C" w:rsidRDefault="00D91945" w:rsidP="00D91945">
      <w:pPr>
        <w:pStyle w:val="Heading2"/>
        <w:spacing w:before="0"/>
      </w:pPr>
      <w:r w:rsidRPr="0089281C">
        <w:rPr>
          <w:w w:val="95"/>
        </w:rPr>
        <w:t>KEY TERMS</w:t>
      </w:r>
    </w:p>
    <w:p w14:paraId="6602DFC2" w14:textId="77777777" w:rsidR="00D91945" w:rsidRPr="002C54B8" w:rsidRDefault="00D91945" w:rsidP="00C23CDB">
      <w:pPr>
        <w:pStyle w:val="NoSpacing"/>
        <w:numPr>
          <w:ilvl w:val="0"/>
          <w:numId w:val="38"/>
        </w:numPr>
      </w:pPr>
      <w:r w:rsidRPr="002C54B8">
        <w:t>Ethnographic methods</w:t>
      </w:r>
    </w:p>
    <w:p w14:paraId="174EF516" w14:textId="77777777" w:rsidR="00D91945" w:rsidRPr="002C54B8" w:rsidRDefault="00D91945" w:rsidP="00C23CDB">
      <w:pPr>
        <w:pStyle w:val="NoSpacing"/>
        <w:numPr>
          <w:ilvl w:val="0"/>
          <w:numId w:val="38"/>
        </w:numPr>
      </w:pPr>
      <w:r w:rsidRPr="002C54B8">
        <w:t>Participant-observer</w:t>
      </w:r>
    </w:p>
    <w:p w14:paraId="4B1D1E24" w14:textId="77777777" w:rsidR="00D91945" w:rsidRPr="002C54B8" w:rsidRDefault="00D91945" w:rsidP="00C23CDB">
      <w:pPr>
        <w:pStyle w:val="NoSpacing"/>
        <w:numPr>
          <w:ilvl w:val="0"/>
          <w:numId w:val="38"/>
        </w:numPr>
      </w:pPr>
      <w:r w:rsidRPr="002C54B8">
        <w:t>Time commitment</w:t>
      </w:r>
    </w:p>
    <w:p w14:paraId="371A1A0E" w14:textId="77777777" w:rsidR="00D91945" w:rsidRPr="002C54B8" w:rsidRDefault="00D91945" w:rsidP="00C23CDB">
      <w:pPr>
        <w:pStyle w:val="ListParagraph"/>
        <w:numPr>
          <w:ilvl w:val="0"/>
          <w:numId w:val="38"/>
        </w:numPr>
      </w:pPr>
      <w:r w:rsidRPr="002C54B8">
        <w:t xml:space="preserve">Objective stance </w:t>
      </w:r>
    </w:p>
    <w:p w14:paraId="7F664FCB" w14:textId="77777777" w:rsidR="00D91945" w:rsidRPr="002C54B8" w:rsidRDefault="00D91945" w:rsidP="00C23CDB">
      <w:pPr>
        <w:pStyle w:val="NoSpacing"/>
        <w:numPr>
          <w:ilvl w:val="0"/>
          <w:numId w:val="38"/>
        </w:numPr>
      </w:pPr>
      <w:r w:rsidRPr="002C54B8">
        <w:t xml:space="preserve">Social or cultural awareness </w:t>
      </w:r>
    </w:p>
    <w:p w14:paraId="13100E3E" w14:textId="77777777" w:rsidR="00D91945" w:rsidRPr="002C54B8" w:rsidRDefault="00D91945" w:rsidP="00C23CDB">
      <w:pPr>
        <w:pStyle w:val="NoSpacing"/>
        <w:numPr>
          <w:ilvl w:val="0"/>
          <w:numId w:val="38"/>
        </w:numPr>
      </w:pPr>
      <w:r w:rsidRPr="002C54B8">
        <w:t>Key Participants</w:t>
      </w:r>
    </w:p>
    <w:p w14:paraId="69FF1EC9" w14:textId="77777777" w:rsidR="00D91945" w:rsidRPr="003A1025" w:rsidRDefault="00D91945" w:rsidP="00D91945"/>
    <w:p w14:paraId="7B4D030C" w14:textId="77777777" w:rsidR="00D91945" w:rsidRDefault="00D91945" w:rsidP="00D91945">
      <w:pPr>
        <w:pStyle w:val="Heading2"/>
        <w:spacing w:before="0"/>
      </w:pPr>
      <w:r>
        <w:t>Chapter Questions</w:t>
      </w:r>
    </w:p>
    <w:p w14:paraId="547AD121" w14:textId="77777777" w:rsidR="00D91945" w:rsidRDefault="00D91945" w:rsidP="00C23CDB">
      <w:pPr>
        <w:pStyle w:val="ListParagraph"/>
        <w:numPr>
          <w:ilvl w:val="0"/>
          <w:numId w:val="37"/>
        </w:numPr>
      </w:pPr>
      <w:r>
        <w:t>Why is it important for an ethnographer to begin a project by observing first?</w:t>
      </w:r>
    </w:p>
    <w:p w14:paraId="06B5BCE1" w14:textId="77777777" w:rsidR="00D91945" w:rsidRDefault="00D91945" w:rsidP="00C23CDB">
      <w:pPr>
        <w:pStyle w:val="ListParagraph"/>
        <w:numPr>
          <w:ilvl w:val="0"/>
          <w:numId w:val="37"/>
        </w:numPr>
      </w:pPr>
      <w:r>
        <w:t>Explain the contradiction caused by the idea of participant-observation?</w:t>
      </w:r>
    </w:p>
    <w:p w14:paraId="051BA7B5" w14:textId="77777777" w:rsidR="00D91945" w:rsidRDefault="00D91945" w:rsidP="00C23CDB">
      <w:pPr>
        <w:pStyle w:val="ListParagraph"/>
        <w:numPr>
          <w:ilvl w:val="0"/>
          <w:numId w:val="37"/>
        </w:numPr>
      </w:pPr>
      <w:r>
        <w:t>What is the importance of communicating the reasons for your research study to participants when you start the process?</w:t>
      </w:r>
    </w:p>
    <w:p w14:paraId="10FD856D" w14:textId="77777777" w:rsidR="00D91945" w:rsidRDefault="00D91945" w:rsidP="00C23CDB">
      <w:pPr>
        <w:pStyle w:val="ListParagraph"/>
        <w:numPr>
          <w:ilvl w:val="0"/>
          <w:numId w:val="37"/>
        </w:numPr>
      </w:pPr>
      <w:r>
        <w:t>Why is it a good idea to avoid misrepresentation and deceptive practices when interacting with groups of participants?</w:t>
      </w:r>
    </w:p>
    <w:p w14:paraId="68F462B0" w14:textId="77777777" w:rsidR="00D91945" w:rsidRDefault="00D91945" w:rsidP="00C23CDB">
      <w:pPr>
        <w:pStyle w:val="ListParagraph"/>
        <w:numPr>
          <w:ilvl w:val="0"/>
          <w:numId w:val="37"/>
        </w:numPr>
      </w:pPr>
      <w:r>
        <w:t>Do you think it is important to identify and categorize routine or regular occurrences or only the extraordinary and unique? Give your opinion on this topic.</w:t>
      </w:r>
    </w:p>
    <w:p w14:paraId="027AEDB5" w14:textId="77777777" w:rsidR="00D91945" w:rsidRDefault="00D91945" w:rsidP="00C23CDB">
      <w:pPr>
        <w:pStyle w:val="ListParagraph"/>
        <w:numPr>
          <w:ilvl w:val="0"/>
          <w:numId w:val="37"/>
        </w:numPr>
      </w:pPr>
      <w:r>
        <w:t>Why is repetition important to note? What is the usefulness of identifying things that repeat or that are unique?</w:t>
      </w:r>
    </w:p>
    <w:p w14:paraId="40FDDE38" w14:textId="77777777" w:rsidR="00D91945" w:rsidRDefault="00D91945" w:rsidP="00C23CDB">
      <w:pPr>
        <w:pStyle w:val="ListParagraph"/>
        <w:numPr>
          <w:ilvl w:val="0"/>
          <w:numId w:val="37"/>
        </w:numPr>
      </w:pPr>
      <w:r>
        <w:t>Demonstrate through several examples the significance of maintaining trust and enthusiasm throughout the research process.</w:t>
      </w:r>
    </w:p>
    <w:p w14:paraId="6642DD4A" w14:textId="77777777" w:rsidR="00D91945" w:rsidRDefault="00D91945" w:rsidP="00C23CDB">
      <w:pPr>
        <w:pStyle w:val="ListParagraph"/>
        <w:numPr>
          <w:ilvl w:val="0"/>
          <w:numId w:val="37"/>
        </w:numPr>
      </w:pPr>
      <w:r>
        <w:t>Why do many researchers avoid the participant-observation approach?</w:t>
      </w:r>
    </w:p>
    <w:p w14:paraId="2E3053A6" w14:textId="77777777" w:rsidR="00D91945" w:rsidRDefault="00D91945" w:rsidP="00C23CDB">
      <w:pPr>
        <w:pStyle w:val="ListParagraph"/>
        <w:numPr>
          <w:ilvl w:val="0"/>
          <w:numId w:val="37"/>
        </w:numPr>
      </w:pPr>
      <w:r>
        <w:t>Give an example of when a research study should be conducted with the ethnographic method.</w:t>
      </w:r>
    </w:p>
    <w:p w14:paraId="0F05D323" w14:textId="77777777" w:rsidR="00D91945" w:rsidRDefault="00D91945" w:rsidP="00C23CDB">
      <w:pPr>
        <w:pStyle w:val="ListParagraph"/>
        <w:numPr>
          <w:ilvl w:val="0"/>
          <w:numId w:val="37"/>
        </w:numPr>
      </w:pPr>
      <w:r>
        <w:t>Discuss the importance of p</w:t>
      </w:r>
      <w:r w:rsidRPr="00047917">
        <w:t xml:space="preserve">lanning </w:t>
      </w:r>
      <w:r>
        <w:t>to ensure successful</w:t>
      </w:r>
      <w:r w:rsidRPr="00047917">
        <w:t xml:space="preserve"> ethnographic fieldwork.</w:t>
      </w:r>
      <w:r>
        <w:t xml:space="preserve"> Give examples.</w:t>
      </w:r>
    </w:p>
    <w:p w14:paraId="1DEFF38F" w14:textId="77777777" w:rsidR="00D91945" w:rsidRDefault="00D91945" w:rsidP="00D91945">
      <w:pPr>
        <w:pStyle w:val="Heading2"/>
        <w:spacing w:before="0"/>
        <w:jc w:val="center"/>
      </w:pPr>
      <w:r>
        <w:lastRenderedPageBreak/>
        <w:t>References</w:t>
      </w:r>
    </w:p>
    <w:p w14:paraId="195F6EA6" w14:textId="77777777" w:rsidR="00D91945" w:rsidRDefault="00D91945" w:rsidP="00D91945">
      <w:pPr>
        <w:ind w:left="720" w:hanging="720"/>
      </w:pPr>
    </w:p>
    <w:p w14:paraId="7D248488" w14:textId="77777777" w:rsidR="00D91945" w:rsidRDefault="00D91945" w:rsidP="00D91945">
      <w:pPr>
        <w:ind w:left="720" w:hanging="720"/>
      </w:pPr>
      <w:proofErr w:type="spellStart"/>
      <w:r>
        <w:t>Alasuutari</w:t>
      </w:r>
      <w:proofErr w:type="spellEnd"/>
      <w:r>
        <w:t>, P. (1995). Researching culture: Qualitative methods and cultural studies. Thousand Oaks, CA: Sage.</w:t>
      </w:r>
    </w:p>
    <w:p w14:paraId="7CFD5861" w14:textId="77777777" w:rsidR="00D91945" w:rsidRDefault="00D91945" w:rsidP="00D91945">
      <w:pPr>
        <w:ind w:left="720" w:hanging="720"/>
      </w:pPr>
      <w:r>
        <w:t xml:space="preserve">Anderson, K. (1994). </w:t>
      </w:r>
      <w:r>
        <w:rPr>
          <w:i/>
          <w:iCs/>
        </w:rPr>
        <w:t>Thinking about sociology.</w:t>
      </w:r>
      <w:r>
        <w:t xml:space="preserve"> New York: Oxford University Press.</w:t>
      </w:r>
    </w:p>
    <w:p w14:paraId="1E346E90" w14:textId="77777777" w:rsidR="00D91945" w:rsidRPr="00D2131D" w:rsidRDefault="00D91945" w:rsidP="00D91945">
      <w:pPr>
        <w:ind w:left="720" w:hanging="720"/>
      </w:pPr>
      <w:r>
        <w:t xml:space="preserve">Averill, J. B. (2006). Getting started: Initiating critical ethnography and community-based action research in a program of rural health studies. </w:t>
      </w:r>
      <w:r>
        <w:rPr>
          <w:i/>
          <w:iCs/>
        </w:rPr>
        <w:t>International Journal of Qualitative Methods, 5</w:t>
      </w:r>
      <w:r>
        <w:t>(2), 17-27.</w:t>
      </w:r>
    </w:p>
    <w:p w14:paraId="5C823E63" w14:textId="77777777" w:rsidR="00D91945" w:rsidRPr="00447674" w:rsidRDefault="00D91945" w:rsidP="00D91945">
      <w:pPr>
        <w:ind w:left="720" w:hanging="720"/>
      </w:pPr>
      <w:r>
        <w:t xml:space="preserve">Bryman, A. (2004). </w:t>
      </w:r>
      <w:r>
        <w:rPr>
          <w:i/>
          <w:iCs/>
        </w:rPr>
        <w:t xml:space="preserve">Social research methods </w:t>
      </w:r>
      <w:r>
        <w:t>(2</w:t>
      </w:r>
      <w:r w:rsidRPr="00F91447">
        <w:rPr>
          <w:vertAlign w:val="superscript"/>
        </w:rPr>
        <w:t>nd</w:t>
      </w:r>
      <w:r>
        <w:t xml:space="preserve"> edition). Oxford: Oxford University Press.</w:t>
      </w:r>
    </w:p>
    <w:p w14:paraId="0BA03F06" w14:textId="77777777" w:rsidR="00D91945" w:rsidRDefault="00D91945" w:rsidP="00D91945">
      <w:pPr>
        <w:ind w:left="720" w:hanging="720"/>
      </w:pPr>
      <w:r>
        <w:t>Ladner, S. (2014). Practical ethnography: A guide to doing ethnography in the private sector. Walnut Creek, CA: Left Coast Press.</w:t>
      </w:r>
    </w:p>
    <w:p w14:paraId="1D9E819A" w14:textId="77777777" w:rsidR="00D91945" w:rsidRPr="00BE08AB" w:rsidRDefault="00D91945" w:rsidP="00D91945">
      <w:pPr>
        <w:ind w:left="720" w:hanging="720"/>
      </w:pPr>
      <w:r w:rsidRPr="00A45A34">
        <w:t>Murchison, J. M. (2010). Ethnography essentials: Designing, conducting, and presenting your research. San Francisco: CA, Jossey-Bass.</w:t>
      </w:r>
    </w:p>
    <w:p w14:paraId="64DEC22A" w14:textId="77777777" w:rsidR="00D91945" w:rsidRDefault="00D91945" w:rsidP="00D91945">
      <w:pPr>
        <w:ind w:left="720" w:hanging="720"/>
        <w:rPr>
          <w:lang w:val="en"/>
        </w:rPr>
      </w:pPr>
      <w:r w:rsidRPr="00A45A34">
        <w:rPr>
          <w:lang w:val="en"/>
        </w:rPr>
        <w:t xml:space="preserve">The Autoethnography Project by </w:t>
      </w:r>
      <w:hyperlink r:id="rId75">
        <w:r w:rsidRPr="00A45A34">
          <w:rPr>
            <w:rStyle w:val="Hyperlink"/>
            <w:lang w:val="en"/>
          </w:rPr>
          <w:t xml:space="preserve">Melissa </w:t>
        </w:r>
        <w:proofErr w:type="spellStart"/>
        <w:r w:rsidRPr="00A45A34">
          <w:rPr>
            <w:rStyle w:val="Hyperlink"/>
            <w:lang w:val="en"/>
          </w:rPr>
          <w:t>Tombro</w:t>
        </w:r>
        <w:proofErr w:type="spellEnd"/>
      </w:hyperlink>
      <w:r w:rsidRPr="00A45A34">
        <w:rPr>
          <w:lang w:val="en"/>
        </w:rPr>
        <w:t xml:space="preserve"> is licensed under a </w:t>
      </w:r>
      <w:hyperlink r:id="rId76">
        <w:r w:rsidRPr="00A45A34">
          <w:rPr>
            <w:rStyle w:val="Hyperlink"/>
            <w:lang w:val="en"/>
          </w:rPr>
          <w:t>Creative Commons Attribution-</w:t>
        </w:r>
        <w:proofErr w:type="spellStart"/>
        <w:r w:rsidRPr="00A45A34">
          <w:rPr>
            <w:rStyle w:val="Hyperlink"/>
            <w:lang w:val="en"/>
          </w:rPr>
          <w:t>NonCommercial</w:t>
        </w:r>
        <w:proofErr w:type="spellEnd"/>
        <w:r w:rsidRPr="00A45A34">
          <w:rPr>
            <w:rStyle w:val="Hyperlink"/>
            <w:lang w:val="en"/>
          </w:rPr>
          <w:t>-</w:t>
        </w:r>
        <w:proofErr w:type="spellStart"/>
        <w:r w:rsidRPr="00A45A34">
          <w:rPr>
            <w:rStyle w:val="Hyperlink"/>
            <w:lang w:val="en"/>
          </w:rPr>
          <w:t>ShareAlike</w:t>
        </w:r>
        <w:proofErr w:type="spellEnd"/>
        <w:r w:rsidRPr="00A45A34">
          <w:rPr>
            <w:rStyle w:val="Hyperlink"/>
            <w:lang w:val="en"/>
          </w:rPr>
          <w:t xml:space="preserve"> 4.0 International License</w:t>
        </w:r>
      </w:hyperlink>
      <w:r w:rsidRPr="00A45A34">
        <w:rPr>
          <w:lang w:val="en"/>
        </w:rPr>
        <w:t>, except where otherwise noted.</w:t>
      </w:r>
    </w:p>
    <w:p w14:paraId="50CBC190" w14:textId="77777777" w:rsidR="00D91945" w:rsidRPr="00D2131D" w:rsidRDefault="00D91945" w:rsidP="00D91945">
      <w:pPr>
        <w:ind w:left="720" w:hanging="720"/>
        <w:rPr>
          <w:lang w:val="en"/>
        </w:rPr>
      </w:pPr>
      <w:r>
        <w:rPr>
          <w:lang w:val="en"/>
        </w:rPr>
        <w:t xml:space="preserve">Van </w:t>
      </w:r>
      <w:proofErr w:type="spellStart"/>
      <w:r>
        <w:rPr>
          <w:lang w:val="en"/>
        </w:rPr>
        <w:t>Maanen</w:t>
      </w:r>
      <w:proofErr w:type="spellEnd"/>
      <w:r>
        <w:rPr>
          <w:lang w:val="en"/>
        </w:rPr>
        <w:t xml:space="preserve">, J. (2003). </w:t>
      </w:r>
      <w:r>
        <w:rPr>
          <w:i/>
          <w:iCs/>
          <w:lang w:val="en"/>
        </w:rPr>
        <w:t xml:space="preserve">Tales from the field: On writing ethnography </w:t>
      </w:r>
      <w:r>
        <w:rPr>
          <w:lang w:val="en"/>
        </w:rPr>
        <w:t>(2</w:t>
      </w:r>
      <w:r w:rsidRPr="00D2131D">
        <w:rPr>
          <w:vertAlign w:val="superscript"/>
          <w:lang w:val="en"/>
        </w:rPr>
        <w:t>nd</w:t>
      </w:r>
      <w:r>
        <w:rPr>
          <w:lang w:val="en"/>
        </w:rPr>
        <w:t xml:space="preserve"> edition). Chicago: University of Chicago Press.</w:t>
      </w:r>
    </w:p>
    <w:p w14:paraId="33CD9844" w14:textId="77777777" w:rsidR="00D91945" w:rsidRPr="006A463A" w:rsidRDefault="00D91945" w:rsidP="00D91945"/>
    <w:p w14:paraId="5C4E62BA" w14:textId="34373ED9" w:rsidR="00D91945" w:rsidRDefault="00D91945">
      <w:r>
        <w:br w:type="page"/>
      </w:r>
    </w:p>
    <w:p w14:paraId="7C035E5F" w14:textId="77777777" w:rsidR="00D91945" w:rsidRPr="00156822" w:rsidRDefault="00D91945" w:rsidP="00156822">
      <w:pPr>
        <w:pStyle w:val="Heading1"/>
        <w:spacing w:before="0"/>
        <w:jc w:val="center"/>
        <w:rPr>
          <w:rFonts w:ascii="Times New Roman" w:hAnsi="Times New Roman" w:cs="Times New Roman"/>
          <w:sz w:val="24"/>
          <w:szCs w:val="24"/>
        </w:rPr>
      </w:pPr>
      <w:r w:rsidRPr="00156822">
        <w:rPr>
          <w:rFonts w:ascii="Times New Roman" w:hAnsi="Times New Roman" w:cs="Times New Roman"/>
          <w:sz w:val="24"/>
          <w:szCs w:val="24"/>
        </w:rPr>
        <w:lastRenderedPageBreak/>
        <w:t>Conducting Interviews</w:t>
      </w:r>
    </w:p>
    <w:p w14:paraId="28484D10" w14:textId="77777777" w:rsidR="00D91945" w:rsidRPr="00156822" w:rsidRDefault="00D91945" w:rsidP="00156822">
      <w:pPr>
        <w:jc w:val="center"/>
        <w:rPr>
          <w:rFonts w:ascii="Times New Roman" w:hAnsi="Times New Roman" w:cs="Times New Roman"/>
        </w:rPr>
      </w:pPr>
      <w:r w:rsidRPr="00156822">
        <w:rPr>
          <w:rFonts w:ascii="Times New Roman" w:hAnsi="Times New Roman" w:cs="Times New Roman"/>
        </w:rPr>
        <w:t xml:space="preserve">Samuel </w:t>
      </w:r>
      <w:proofErr w:type="spellStart"/>
      <w:r w:rsidRPr="00156822">
        <w:rPr>
          <w:rFonts w:ascii="Times New Roman" w:hAnsi="Times New Roman" w:cs="Times New Roman"/>
        </w:rPr>
        <w:t>Finesurrey</w:t>
      </w:r>
      <w:proofErr w:type="spellEnd"/>
    </w:p>
    <w:p w14:paraId="78C11DAD" w14:textId="77777777" w:rsidR="00D91945" w:rsidRPr="00156822" w:rsidRDefault="00D91945" w:rsidP="00156822">
      <w:pPr>
        <w:rPr>
          <w:rFonts w:ascii="Times New Roman" w:hAnsi="Times New Roman" w:cs="Times New Roman"/>
        </w:rPr>
      </w:pPr>
    </w:p>
    <w:p w14:paraId="40F16A82" w14:textId="77777777" w:rsidR="00D91945" w:rsidRPr="00156822" w:rsidRDefault="00D91945" w:rsidP="00156822">
      <w:pPr>
        <w:rPr>
          <w:rFonts w:ascii="Times New Roman" w:hAnsi="Times New Roman" w:cs="Times New Roman"/>
          <w:b/>
          <w:i/>
        </w:rPr>
      </w:pPr>
    </w:p>
    <w:p w14:paraId="088FC59C" w14:textId="77777777" w:rsidR="00D91945" w:rsidRPr="00156822" w:rsidRDefault="00D91945" w:rsidP="00156822">
      <w:pPr>
        <w:pStyle w:val="Heading2"/>
        <w:spacing w:before="0"/>
        <w:rPr>
          <w:rFonts w:ascii="Times New Roman" w:hAnsi="Times New Roman" w:cs="Times New Roman"/>
          <w:sz w:val="24"/>
          <w:szCs w:val="24"/>
        </w:rPr>
      </w:pPr>
      <w:r w:rsidRPr="00156822">
        <w:rPr>
          <w:rFonts w:ascii="Times New Roman" w:hAnsi="Times New Roman" w:cs="Times New Roman"/>
          <w:sz w:val="24"/>
          <w:szCs w:val="24"/>
        </w:rPr>
        <w:t>Introduction</w:t>
      </w:r>
    </w:p>
    <w:p w14:paraId="2D2495B3"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 xml:space="preserve">     Interviews illuminate powerful and textured depictions of events that help us more fully understand individuals and communities, historical perspectives and the present, struggles and joy. Interviews are an exchange between two or more people where a researcher designs a set of questions to gather information on one or more topics (Blackstone, 2012). Interviews provide ethnographic researchers the opportunity to engage and question, with an eye toward understanding a community or group being studied. An interview can reveal the roots of a cultural tradition or communal mindset by unraveling an assortment of shared and individual experiences, emotions and memories. For example, interviewers may ask their interviewees “what was something that surprised you after joining your union?” or “can you tell us the story of the first time you participated in a strike?” Interviews can reveal details that help unlock the ways your informants see themselves fitting into the world around them, as well as how they communicate in that world. </w:t>
      </w:r>
    </w:p>
    <w:p w14:paraId="6F8FB7AF"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Varied in type, interviews offer a unique opportunity in ethnographic work to empower your informants to share and preserve their truths, while providing an essential research tool in building ethnographies. Often, with interviews, we </w:t>
      </w:r>
      <w:proofErr w:type="gramStart"/>
      <w:r w:rsidRPr="00156822">
        <w:rPr>
          <w:rFonts w:ascii="Times New Roman" w:hAnsi="Times New Roman" w:cs="Times New Roman"/>
        </w:rPr>
        <w:t>are able to</w:t>
      </w:r>
      <w:proofErr w:type="gramEnd"/>
      <w:r w:rsidRPr="00156822">
        <w:rPr>
          <w:rFonts w:ascii="Times New Roman" w:hAnsi="Times New Roman" w:cs="Times New Roman"/>
        </w:rPr>
        <w:t xml:space="preserve"> recover hidden stories, secrets of the past, or untold journeys that have yet to make it into the history textbooks. It is important to remember while your ethnography is built around your analysis, interviews are co-constructed; that is, they are a form of knowledge produced by both the interviewer and the interviewee.</w:t>
      </w:r>
    </w:p>
    <w:p w14:paraId="49CF9600" w14:textId="77777777" w:rsidR="00156822" w:rsidRDefault="00156822" w:rsidP="00156822">
      <w:pPr>
        <w:pStyle w:val="Heading2"/>
        <w:spacing w:before="0"/>
        <w:rPr>
          <w:rFonts w:ascii="Times New Roman" w:hAnsi="Times New Roman" w:cs="Times New Roman"/>
          <w:sz w:val="24"/>
          <w:szCs w:val="24"/>
        </w:rPr>
      </w:pPr>
    </w:p>
    <w:p w14:paraId="7786B599" w14:textId="5508B333" w:rsidR="00D91945" w:rsidRPr="00156822" w:rsidRDefault="00D91945" w:rsidP="00156822">
      <w:pPr>
        <w:pStyle w:val="Heading2"/>
        <w:spacing w:before="0"/>
        <w:rPr>
          <w:rFonts w:ascii="Times New Roman" w:hAnsi="Times New Roman" w:cs="Times New Roman"/>
          <w:sz w:val="24"/>
          <w:szCs w:val="24"/>
        </w:rPr>
      </w:pPr>
      <w:r w:rsidRPr="00156822">
        <w:rPr>
          <w:rFonts w:ascii="Times New Roman" w:hAnsi="Times New Roman" w:cs="Times New Roman"/>
          <w:sz w:val="24"/>
          <w:szCs w:val="24"/>
        </w:rPr>
        <w:t>Types of Interviews</w:t>
      </w:r>
    </w:p>
    <w:p w14:paraId="2294B4BC"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r>
      <w:r w:rsidRPr="00156822">
        <w:rPr>
          <w:rFonts w:ascii="Times New Roman" w:hAnsi="Times New Roman" w:cs="Times New Roman"/>
          <w:i/>
        </w:rPr>
        <w:t>Qualitative interviews</w:t>
      </w:r>
      <w:r w:rsidRPr="00156822">
        <w:rPr>
          <w:rFonts w:ascii="Times New Roman" w:hAnsi="Times New Roman" w:cs="Times New Roman"/>
        </w:rPr>
        <w:t xml:space="preserve"> are the most common interviews in ethnographic work. A qualitative interview is organized by </w:t>
      </w:r>
      <w:r w:rsidRPr="00156822">
        <w:rPr>
          <w:rFonts w:ascii="Times New Roman" w:hAnsi="Times New Roman" w:cs="Times New Roman"/>
          <w:i/>
        </w:rPr>
        <w:t>open-ended questions</w:t>
      </w:r>
      <w:r w:rsidRPr="00156822">
        <w:rPr>
          <w:rFonts w:ascii="Times New Roman" w:hAnsi="Times New Roman" w:cs="Times New Roman"/>
        </w:rPr>
        <w:t xml:space="preserve"> that seek in-depth explanations of traditions, experiences and perceptions. These are generally </w:t>
      </w:r>
      <w:r w:rsidRPr="00156822">
        <w:rPr>
          <w:rFonts w:ascii="Times New Roman" w:hAnsi="Times New Roman" w:cs="Times New Roman"/>
          <w:i/>
        </w:rPr>
        <w:t>semi-structured interviews</w:t>
      </w:r>
      <w:r w:rsidRPr="00156822">
        <w:rPr>
          <w:rFonts w:ascii="Times New Roman" w:hAnsi="Times New Roman" w:cs="Times New Roman"/>
        </w:rPr>
        <w:t xml:space="preserve"> where the interviewer starts with a list of open-ended </w:t>
      </w:r>
      <w:proofErr w:type="gramStart"/>
      <w:r w:rsidRPr="00156822">
        <w:rPr>
          <w:rFonts w:ascii="Times New Roman" w:hAnsi="Times New Roman" w:cs="Times New Roman"/>
        </w:rPr>
        <w:t>questions, but</w:t>
      </w:r>
      <w:proofErr w:type="gramEnd"/>
      <w:r w:rsidRPr="00156822">
        <w:rPr>
          <w:rFonts w:ascii="Times New Roman" w:hAnsi="Times New Roman" w:cs="Times New Roman"/>
        </w:rPr>
        <w:t xml:space="preserve"> will not strictly follow the agenda they prepared. A semi-structured format is useful for qualitative interviews because it provides room for follow-up questions and illuminate the “why” and “how” of a participant’s experience. Qualitative interviews excavate material that is typically inaccessible through </w:t>
      </w:r>
      <w:r w:rsidRPr="00156822">
        <w:rPr>
          <w:rFonts w:ascii="Times New Roman" w:hAnsi="Times New Roman" w:cs="Times New Roman"/>
          <w:i/>
        </w:rPr>
        <w:t>quantitative</w:t>
      </w:r>
      <w:r w:rsidRPr="00156822">
        <w:rPr>
          <w:rFonts w:ascii="Times New Roman" w:hAnsi="Times New Roman" w:cs="Times New Roman"/>
        </w:rPr>
        <w:t xml:space="preserve"> interviews, </w:t>
      </w:r>
      <w:r w:rsidRPr="00156822">
        <w:rPr>
          <w:rFonts w:ascii="Times New Roman" w:hAnsi="Times New Roman" w:cs="Times New Roman"/>
          <w:i/>
        </w:rPr>
        <w:t>structured interviews</w:t>
      </w:r>
      <w:r w:rsidRPr="00156822">
        <w:rPr>
          <w:rFonts w:ascii="Times New Roman" w:hAnsi="Times New Roman" w:cs="Times New Roman"/>
        </w:rPr>
        <w:t xml:space="preserve"> or </w:t>
      </w:r>
      <w:r w:rsidRPr="00156822">
        <w:rPr>
          <w:rFonts w:ascii="Times New Roman" w:hAnsi="Times New Roman" w:cs="Times New Roman"/>
          <w:i/>
        </w:rPr>
        <w:t>surveys,</w:t>
      </w:r>
      <w:r w:rsidRPr="00156822">
        <w:rPr>
          <w:rFonts w:ascii="Times New Roman" w:hAnsi="Times New Roman" w:cs="Times New Roman"/>
        </w:rPr>
        <w:t xml:space="preserve"> which gather responses through close-ended questions, or collect numerical data from participants. </w:t>
      </w:r>
      <w:r w:rsidRPr="00156822">
        <w:rPr>
          <w:rFonts w:ascii="Times New Roman" w:eastAsia="Times New Roman" w:hAnsi="Times New Roman" w:cs="Times New Roman"/>
        </w:rPr>
        <w:t>Qualitative interviews enable participants to offer free-formed responses, as opposed to selecting from a short list of choices constructed by you, the ethnographer. They offer the flexibility to propose questions that arise in conversation, seek clarification and allow the space for unique and detailed stories to be told. (</w:t>
      </w:r>
      <w:r w:rsidRPr="00156822">
        <w:rPr>
          <w:rFonts w:ascii="Times New Roman" w:hAnsi="Times New Roman" w:cs="Times New Roman"/>
        </w:rPr>
        <w:t>Griffiths</w:t>
      </w:r>
      <w:r w:rsidRPr="00156822">
        <w:rPr>
          <w:rFonts w:ascii="Times New Roman" w:eastAsia="Times New Roman" w:hAnsi="Times New Roman" w:cs="Times New Roman"/>
          <w:i/>
        </w:rPr>
        <w:t xml:space="preserve">, </w:t>
      </w:r>
      <w:r w:rsidRPr="00156822">
        <w:rPr>
          <w:rFonts w:ascii="Times New Roman" w:eastAsia="Times New Roman" w:hAnsi="Times New Roman" w:cs="Times New Roman"/>
        </w:rPr>
        <w:t xml:space="preserve">2017; Blackstone, 2012) </w:t>
      </w:r>
      <w:r w:rsidRPr="00156822">
        <w:rPr>
          <w:rFonts w:ascii="Times New Roman" w:hAnsi="Times New Roman" w:cs="Times New Roman"/>
        </w:rPr>
        <w:t>Qualitative interviews</w:t>
      </w:r>
      <w:r w:rsidRPr="00156822">
        <w:rPr>
          <w:rFonts w:ascii="Times New Roman" w:hAnsi="Times New Roman" w:cs="Times New Roman"/>
          <w:i/>
        </w:rPr>
        <w:t xml:space="preserve"> </w:t>
      </w:r>
      <w:r w:rsidRPr="00156822">
        <w:rPr>
          <w:rFonts w:ascii="Times New Roman" w:hAnsi="Times New Roman" w:cs="Times New Roman"/>
        </w:rPr>
        <w:t>seek narratives, not statistics; not just how many or how often, but “How did that feel?” or “What happened after that?” The benefit of qualitative interviews</w:t>
      </w:r>
      <w:r w:rsidRPr="00156822">
        <w:rPr>
          <w:rFonts w:ascii="Times New Roman" w:hAnsi="Times New Roman" w:cs="Times New Roman"/>
          <w:i/>
        </w:rPr>
        <w:t xml:space="preserve"> </w:t>
      </w:r>
      <w:r w:rsidRPr="00156822">
        <w:rPr>
          <w:rFonts w:ascii="Times New Roman" w:hAnsi="Times New Roman" w:cs="Times New Roman"/>
        </w:rPr>
        <w:t>is that they allow you as the interviewer to access the narrative most important to your interviewee through the process of open-ended responses. Further, as opposed to quantitative interviews, structured interviews or surveys, qualitative interviews give you the ability to break from a set list of questions. (</w:t>
      </w:r>
      <w:proofErr w:type="spellStart"/>
      <w:r w:rsidRPr="00156822">
        <w:rPr>
          <w:rFonts w:ascii="Times New Roman" w:hAnsi="Times New Roman" w:cs="Times New Roman"/>
        </w:rPr>
        <w:t>Murchinson</w:t>
      </w:r>
      <w:proofErr w:type="spellEnd"/>
      <w:r w:rsidRPr="00156822">
        <w:rPr>
          <w:rFonts w:ascii="Times New Roman" w:hAnsi="Times New Roman" w:cs="Times New Roman"/>
        </w:rPr>
        <w:t xml:space="preserve">, 2010) Qualitative interviews are extremely important as they allow informants to become participants who can “co-construct” the project of understanding their culture. </w:t>
      </w:r>
    </w:p>
    <w:p w14:paraId="3DE6615F" w14:textId="77777777" w:rsidR="00D91945" w:rsidRPr="00156822" w:rsidRDefault="00D91945" w:rsidP="00156822">
      <w:pPr>
        <w:rPr>
          <w:rFonts w:ascii="Times New Roman" w:hAnsi="Times New Roman" w:cs="Times New Roman"/>
          <w:vertAlign w:val="superscript"/>
        </w:rPr>
      </w:pPr>
      <w:r w:rsidRPr="00156822">
        <w:rPr>
          <w:rFonts w:ascii="Times New Roman" w:hAnsi="Times New Roman" w:cs="Times New Roman"/>
        </w:rPr>
        <w:lastRenderedPageBreak/>
        <w:tab/>
        <w:t xml:space="preserve">Often </w:t>
      </w:r>
      <w:r w:rsidRPr="00156822">
        <w:rPr>
          <w:rFonts w:ascii="Times New Roman" w:hAnsi="Times New Roman" w:cs="Times New Roman"/>
          <w:i/>
        </w:rPr>
        <w:t>informal interviews</w:t>
      </w:r>
      <w:r w:rsidRPr="00156822">
        <w:rPr>
          <w:rFonts w:ascii="Times New Roman" w:hAnsi="Times New Roman" w:cs="Times New Roman"/>
        </w:rPr>
        <w:t xml:space="preserve">, which may feel more like conversations, are appropriate in the context of ethnographic research as people can be wary of being recorded when broaching difficult experiences. Informal interviews are often casual exchanges with informants to gather background information for your project, and often in preparation for a </w:t>
      </w:r>
      <w:r w:rsidRPr="00156822">
        <w:rPr>
          <w:rFonts w:ascii="Times New Roman" w:hAnsi="Times New Roman" w:cs="Times New Roman"/>
          <w:i/>
        </w:rPr>
        <w:t>formal interview</w:t>
      </w:r>
      <w:r w:rsidRPr="00156822">
        <w:rPr>
          <w:rFonts w:ascii="Times New Roman" w:hAnsi="Times New Roman" w:cs="Times New Roman"/>
        </w:rPr>
        <w:t>. Informal interviews</w:t>
      </w:r>
      <w:r w:rsidRPr="00156822">
        <w:rPr>
          <w:rFonts w:ascii="Times New Roman" w:hAnsi="Times New Roman" w:cs="Times New Roman"/>
          <w:i/>
        </w:rPr>
        <w:t xml:space="preserve"> </w:t>
      </w:r>
      <w:r w:rsidRPr="00156822">
        <w:rPr>
          <w:rFonts w:ascii="Times New Roman" w:hAnsi="Times New Roman" w:cs="Times New Roman"/>
        </w:rPr>
        <w:t xml:space="preserve">are often </w:t>
      </w:r>
      <w:r w:rsidRPr="00156822">
        <w:rPr>
          <w:rFonts w:ascii="Times New Roman" w:hAnsi="Times New Roman" w:cs="Times New Roman"/>
          <w:i/>
        </w:rPr>
        <w:t xml:space="preserve">unstructured, </w:t>
      </w:r>
      <w:r w:rsidRPr="00156822">
        <w:rPr>
          <w:rFonts w:ascii="Times New Roman" w:hAnsi="Times New Roman" w:cs="Times New Roman"/>
        </w:rPr>
        <w:t>meaning they allow the discussion to freely venture from subject to subject, often without a written list of questions to guide the conversation. In unstructured interviewers</w:t>
      </w:r>
      <w:r w:rsidRPr="00156822">
        <w:rPr>
          <w:rFonts w:ascii="Times New Roman" w:hAnsi="Times New Roman" w:cs="Times New Roman"/>
          <w:i/>
        </w:rPr>
        <w:t xml:space="preserve"> </w:t>
      </w:r>
      <w:r w:rsidRPr="00156822">
        <w:rPr>
          <w:rFonts w:ascii="Times New Roman" w:hAnsi="Times New Roman" w:cs="Times New Roman"/>
        </w:rPr>
        <w:t>the interviewer is following the interviewee as they tell their story. Informal interviews improve formal interviews</w:t>
      </w:r>
      <w:r w:rsidRPr="00156822">
        <w:rPr>
          <w:rFonts w:ascii="Times New Roman" w:hAnsi="Times New Roman" w:cs="Times New Roman"/>
          <w:i/>
        </w:rPr>
        <w:t xml:space="preserve"> </w:t>
      </w:r>
      <w:r w:rsidRPr="00156822">
        <w:rPr>
          <w:rFonts w:ascii="Times New Roman" w:hAnsi="Times New Roman" w:cs="Times New Roman"/>
        </w:rPr>
        <w:t>that take place later as you become more knowledgeable about your respondent’s experience, informed on what they care about, while developing the ability to ask more relevant, fruitful, and directed questions. (</w:t>
      </w:r>
      <w:proofErr w:type="spellStart"/>
      <w:r w:rsidRPr="00156822">
        <w:rPr>
          <w:rFonts w:ascii="Times New Roman" w:hAnsi="Times New Roman" w:cs="Times New Roman"/>
        </w:rPr>
        <w:t>Murchinson</w:t>
      </w:r>
      <w:proofErr w:type="spellEnd"/>
      <w:r w:rsidRPr="00156822">
        <w:rPr>
          <w:rFonts w:ascii="Times New Roman" w:hAnsi="Times New Roman" w:cs="Times New Roman"/>
        </w:rPr>
        <w:t xml:space="preserve">, 2010) Often held in elevators or hallways, over coffee or in a spontaneous meeting without the aid of a recording device, informal interviews can aid exploratory research, or fill in missing gaps later in the process. It is very important in formal or informal interviews to honor the story you are hearing, to show empathy, to ask questions, but never suggest that you are judging what the respondent is telling you.  </w:t>
      </w:r>
    </w:p>
    <w:p w14:paraId="4A324184"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Formal qualitative interviews</w:t>
      </w:r>
      <w:r w:rsidRPr="00156822">
        <w:rPr>
          <w:rFonts w:ascii="Times New Roman" w:hAnsi="Times New Roman" w:cs="Times New Roman"/>
          <w:i/>
        </w:rPr>
        <w:t xml:space="preserve"> </w:t>
      </w:r>
      <w:r w:rsidRPr="00156822">
        <w:rPr>
          <w:rFonts w:ascii="Times New Roman" w:hAnsi="Times New Roman" w:cs="Times New Roman"/>
        </w:rPr>
        <w:t>are the most demanding form of interview for both you, as the interviewer, and for the participant(s), but they are also potentially the most rewarding. They offer the opportunity to gather depth, details, and anecdotes for your project, and are better when conducted toward the end of your research, once you know the appropriate questions to ask you informant. These interviews are often recorded, and preserved, depending on the designs of the professor and the comfort of your participants. (Blackstone, 2012) You are asking the participant to share with you their time and memories, often about emotionally exhausting experiences. It is important to remember that an interview is a vulnerable experience. Your informant is sitting down and responding to an organized list of open-ended questions that could bring back painful, intimate and buried memories. Even questions that seem simple, like “tell me about growing up with your family,” can be difficult if someone did not have an easy family life, did not grow up with their family, if a parent was ill, in another country, incarcerated or abusive. “Tell me about your job,” can also cause a strong reaction from your interviewee if the work your informant does is dangerous, if there is discrimination in the workplace, or if they are treated badly by management. While these interviews have the potential to offer you important information, it is key to remember your informant is trusting you with their story. You must handle the interaction with the respect and care it deserves. The intimacy of this exchange requires significant preparation by you, the ethnographer.</w:t>
      </w:r>
    </w:p>
    <w:p w14:paraId="776C7D67" w14:textId="77777777" w:rsidR="00156822" w:rsidRDefault="00156822" w:rsidP="00156822">
      <w:pPr>
        <w:pStyle w:val="Heading2"/>
        <w:spacing w:before="0"/>
        <w:rPr>
          <w:rFonts w:ascii="Times New Roman" w:hAnsi="Times New Roman" w:cs="Times New Roman"/>
          <w:sz w:val="24"/>
          <w:szCs w:val="24"/>
        </w:rPr>
      </w:pPr>
    </w:p>
    <w:p w14:paraId="05085427" w14:textId="3BBA5C1C" w:rsidR="00D91945" w:rsidRPr="00156822" w:rsidRDefault="00D91945" w:rsidP="00156822">
      <w:pPr>
        <w:pStyle w:val="Heading2"/>
        <w:spacing w:before="0"/>
        <w:rPr>
          <w:rFonts w:ascii="Times New Roman" w:hAnsi="Times New Roman" w:cs="Times New Roman"/>
          <w:sz w:val="24"/>
          <w:szCs w:val="24"/>
        </w:rPr>
      </w:pPr>
      <w:r w:rsidRPr="00156822">
        <w:rPr>
          <w:rFonts w:ascii="Times New Roman" w:hAnsi="Times New Roman" w:cs="Times New Roman"/>
          <w:sz w:val="24"/>
          <w:szCs w:val="24"/>
        </w:rPr>
        <w:t>Preparing for an Interview</w:t>
      </w:r>
    </w:p>
    <w:p w14:paraId="74829C19"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The interview preparation process takes time, thought, and effort. You should create an environment where your interviewee feels comfortable to share their truth, and one that also accommodates your goal of conducting a clear, organized and useful interview. The six key steps in preparation include: identifying your informant, setting a time and place, conducting background research, formulating a list of questions, prepping </w:t>
      </w:r>
      <w:r w:rsidRPr="00156822">
        <w:rPr>
          <w:rFonts w:ascii="Times New Roman" w:hAnsi="Times New Roman" w:cs="Times New Roman"/>
          <w:i/>
        </w:rPr>
        <w:t>informed consent forms,</w:t>
      </w:r>
      <w:r w:rsidRPr="00156822">
        <w:rPr>
          <w:rFonts w:ascii="Times New Roman" w:hAnsi="Times New Roman" w:cs="Times New Roman"/>
        </w:rPr>
        <w:t xml:space="preserve"> and preparing for a recording. </w:t>
      </w:r>
    </w:p>
    <w:p w14:paraId="51AB575A"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First, you need to find someone to interview. This often takes place in the context of </w:t>
      </w:r>
      <w:r w:rsidRPr="00156822">
        <w:rPr>
          <w:rFonts w:ascii="Times New Roman" w:hAnsi="Times New Roman" w:cs="Times New Roman"/>
          <w:i/>
        </w:rPr>
        <w:t xml:space="preserve">participant-observation </w:t>
      </w:r>
      <w:r w:rsidRPr="00156822">
        <w:rPr>
          <w:rFonts w:ascii="Times New Roman" w:hAnsi="Times New Roman" w:cs="Times New Roman"/>
        </w:rPr>
        <w:t>through conversations with informants. (</w:t>
      </w:r>
      <w:proofErr w:type="spellStart"/>
      <w:r w:rsidRPr="00156822">
        <w:rPr>
          <w:rFonts w:ascii="Times New Roman" w:hAnsi="Times New Roman" w:cs="Times New Roman"/>
        </w:rPr>
        <w:t>Murchinson</w:t>
      </w:r>
      <w:proofErr w:type="spellEnd"/>
      <w:r w:rsidRPr="00156822">
        <w:rPr>
          <w:rFonts w:ascii="Times New Roman" w:hAnsi="Times New Roman" w:cs="Times New Roman"/>
        </w:rPr>
        <w:t xml:space="preserve">, 2010) People in and around your ethnographic study can serve as useful participants in your project, or they can nominate others to participate. Your interview will offer interviewees an opportunity to share their truth, something many participants will enjoy. Still, when asking people to participate in </w:t>
      </w:r>
      <w:r w:rsidRPr="00156822">
        <w:rPr>
          <w:rFonts w:ascii="Times New Roman" w:hAnsi="Times New Roman" w:cs="Times New Roman"/>
        </w:rPr>
        <w:lastRenderedPageBreak/>
        <w:t>your projects, it’s important to show appreciation for their willingness to aid you in this ethnography and to be honest about how the interview may be used and preserved. This is true for both formal and informal interviews.</w:t>
      </w:r>
    </w:p>
    <w:p w14:paraId="354303AB"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If you have an informant who has agreed to meet for a formal interview, you need to verify the time, date, and location of the interview. The location can determine the tone of the interview, for instance being interviewed in a law office would likely elicit a dramatically different set of responses than an interview held at their workplace, in a park, or the informant’s home. We want to make sure your interviewee is relaxed, but also that there will not be a lot of background noise that may make the recording hard to hear. You can offer to conduct the interview in English or another language you and the interviewee both speak.  If people want to use words from their original language – even if you are not fluent – tell them they can, and then ask for a translation. You want your informant to be as comfortable as possible with every aspect of this process.</w:t>
      </w:r>
    </w:p>
    <w:p w14:paraId="66F08724"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Third, you want to conduct background research about the historical and cultural context of the respondent and their story. Consider asking your informant some preliminary questions through an informal interview</w:t>
      </w:r>
      <w:r w:rsidRPr="00156822">
        <w:rPr>
          <w:rFonts w:ascii="Times New Roman" w:hAnsi="Times New Roman" w:cs="Times New Roman"/>
          <w:i/>
        </w:rPr>
        <w:t>,</w:t>
      </w:r>
      <w:r w:rsidRPr="00156822">
        <w:rPr>
          <w:rFonts w:ascii="Times New Roman" w:hAnsi="Times New Roman" w:cs="Times New Roman"/>
        </w:rPr>
        <w:t xml:space="preserve"> or when setting up the time, to help you prepare for a conversation about their life. You can ask something like, “What should I learn about before I interview you so I can really appreciate your experience?” This process is also helpful as it allows informants to get a sense of what you will be asking and to begin recalling their experiences. After setting up the interview, look online, in books, journals, magazines, newspapers and in archives to become more informed about your participant’s worldview. You want to make sure you can ask </w:t>
      </w:r>
      <w:proofErr w:type="gramStart"/>
      <w:r w:rsidRPr="00156822">
        <w:rPr>
          <w:rFonts w:ascii="Times New Roman" w:hAnsi="Times New Roman" w:cs="Times New Roman"/>
        </w:rPr>
        <w:t>about, and</w:t>
      </w:r>
      <w:proofErr w:type="gramEnd"/>
      <w:r w:rsidRPr="00156822">
        <w:rPr>
          <w:rFonts w:ascii="Times New Roman" w:hAnsi="Times New Roman" w:cs="Times New Roman"/>
        </w:rPr>
        <w:t xml:space="preserve"> explain competing understandings of the context in which the story of your interviewee takes place. If you were studying political attitudes that coal miners hold of President Donald Trump, you would have to also study his presidency, his actions on the environment, healthcare and workers’ rights to understand why they might have </w:t>
      </w:r>
      <w:proofErr w:type="gramStart"/>
      <w:r w:rsidRPr="00156822">
        <w:rPr>
          <w:rFonts w:ascii="Times New Roman" w:hAnsi="Times New Roman" w:cs="Times New Roman"/>
        </w:rPr>
        <w:t>concerns, or</w:t>
      </w:r>
      <w:proofErr w:type="gramEnd"/>
      <w:r w:rsidRPr="00156822">
        <w:rPr>
          <w:rFonts w:ascii="Times New Roman" w:hAnsi="Times New Roman" w:cs="Times New Roman"/>
        </w:rPr>
        <w:t xml:space="preserve"> admire his policies. </w:t>
      </w:r>
    </w:p>
    <w:p w14:paraId="347D6FFB"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Next, formulate a list of questions you will be asking. This is called a</w:t>
      </w:r>
      <w:r w:rsidRPr="00156822">
        <w:rPr>
          <w:rFonts w:ascii="Times New Roman" w:hAnsi="Times New Roman" w:cs="Times New Roman"/>
          <w:i/>
        </w:rPr>
        <w:t xml:space="preserve"> guide, schedule </w:t>
      </w:r>
      <w:r w:rsidRPr="00156822">
        <w:rPr>
          <w:rFonts w:ascii="Times New Roman" w:hAnsi="Times New Roman" w:cs="Times New Roman"/>
        </w:rPr>
        <w:t xml:space="preserve">or </w:t>
      </w:r>
      <w:r w:rsidRPr="00156822">
        <w:rPr>
          <w:rFonts w:ascii="Times New Roman" w:hAnsi="Times New Roman" w:cs="Times New Roman"/>
          <w:i/>
        </w:rPr>
        <w:t>frame</w:t>
      </w:r>
      <w:r w:rsidRPr="00156822">
        <w:rPr>
          <w:rFonts w:ascii="Times New Roman" w:hAnsi="Times New Roman" w:cs="Times New Roman"/>
        </w:rPr>
        <w:t xml:space="preserve">. If you are interviewing multiple people for your ethnography, you want to be sure to ask everyone a similar set of questions, and then lots of specific follow-ups that are particular to each informant. This is what makes your interview semi-structured. Everyone gets the same basic questions, but with each respondent the interview travels in a unique direction. When thinking of these questions, keep in mind who your interviewee is and what insights they might, or might not be able to offer. Having a guide prepared for the interview helps give you as the interviewer confidence in your ability to remember the key questions and topics you are hoping to broach with your interviewee. You may be passionate about your topic of study, or nervous at the prospect of questioning your informant. A guide allows you to frame your questions in the best way possible, while serving as a tool to make sure the interview accomplishes what you set out to accomplish. For instance, if you have formed a positive or negative opinion of President Trump from your background research, you would not want to reveal that to your informant. Thus, you would not ask either, “what do you like about President Trump?” or “what don’t you like about President Trump?”  But you might say, “can you give me your impressions of President Trump?” and then follow up with, “are there aspects of his leadership you like, and aspects you don’t like very much?” </w:t>
      </w:r>
    </w:p>
    <w:p w14:paraId="4B3DCC58"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It’s extremely important to take time in preparing your guide for the interview, keeping in mind the tone you want to set from the beginning and the order in which you want to present your questions. Practice prepared questions with a friend, family member, or in the mirror so that </w:t>
      </w:r>
      <w:r w:rsidRPr="00156822">
        <w:rPr>
          <w:rFonts w:ascii="Times New Roman" w:hAnsi="Times New Roman" w:cs="Times New Roman"/>
        </w:rPr>
        <w:lastRenderedPageBreak/>
        <w:t xml:space="preserve">when you enter the interview you are not nervous or distracted, but are able to focus on being an </w:t>
      </w:r>
      <w:r w:rsidRPr="00156822">
        <w:rPr>
          <w:rFonts w:ascii="Times New Roman" w:hAnsi="Times New Roman" w:cs="Times New Roman"/>
          <w:i/>
        </w:rPr>
        <w:t xml:space="preserve">active listener, </w:t>
      </w:r>
      <w:r w:rsidRPr="00156822">
        <w:rPr>
          <w:rFonts w:ascii="Times New Roman" w:hAnsi="Times New Roman" w:cs="Times New Roman"/>
        </w:rPr>
        <w:t xml:space="preserve">paying attention to the subtleties in tone and word-selection of your informant. (Blackstone, 2012)   During the interview, as an </w:t>
      </w:r>
      <w:r w:rsidRPr="00156822">
        <w:rPr>
          <w:rFonts w:ascii="Times New Roman" w:hAnsi="Times New Roman" w:cs="Times New Roman"/>
          <w:i/>
        </w:rPr>
        <w:t>active listener</w:t>
      </w:r>
      <w:r w:rsidRPr="00156822">
        <w:rPr>
          <w:rFonts w:ascii="Times New Roman" w:hAnsi="Times New Roman" w:cs="Times New Roman"/>
        </w:rPr>
        <w:t xml:space="preserve">, you will be taking notes that will lead to follow-up questions based on the responses of your informant. Never look bored, or like you want to get onto the next question (even if you do!) Try to make eye contact and show through your body language that you are interested in what they are saying. If someone gets sad or teary, agitated or starts to laugh, let them have these emotions without judgment. Feel free to ask them “Do you need a break?” “Are you ok? Sorry if these questions are difficult,” or “Do you feel able to continue, or should we stop?” </w:t>
      </w:r>
    </w:p>
    <w:p w14:paraId="1CD535D8"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For semi-structured, or formal qualitative interviews you should be asking open-ended </w:t>
      </w:r>
      <w:proofErr w:type="gramStart"/>
      <w:r w:rsidRPr="00156822">
        <w:rPr>
          <w:rFonts w:ascii="Times New Roman" w:hAnsi="Times New Roman" w:cs="Times New Roman"/>
        </w:rPr>
        <w:t>questions, and</w:t>
      </w:r>
      <w:proofErr w:type="gramEnd"/>
      <w:r w:rsidRPr="00156822">
        <w:rPr>
          <w:rFonts w:ascii="Times New Roman" w:hAnsi="Times New Roman" w:cs="Times New Roman"/>
        </w:rPr>
        <w:t xml:space="preserve"> avoid questions that will elicit yes or no responses. To create an open-ended question, make sure you are gathering stories or addressing the “how” and “why” of a subject. While it’s important to know the one-word responses to questions like “Where are you from?” this is the sort of information that can be gathered through an informal interview, a survey or a quantitative interview</w:t>
      </w:r>
      <w:r w:rsidRPr="00156822">
        <w:rPr>
          <w:rFonts w:ascii="Times New Roman" w:hAnsi="Times New Roman" w:cs="Times New Roman"/>
          <w:i/>
        </w:rPr>
        <w:t xml:space="preserve">. </w:t>
      </w:r>
      <w:r w:rsidRPr="00156822">
        <w:rPr>
          <w:rFonts w:ascii="Times New Roman" w:hAnsi="Times New Roman" w:cs="Times New Roman"/>
        </w:rPr>
        <w:t xml:space="preserve">Formal qualitative interviews offer an opportunity to ask open-ended questions that will go beyond inquiring, “Where are you from?” to ask “Tell me a story about where you are from?" or “Why did you chose to leave where you are from to come to New York City?” Through open-ended questions you can gather significantly more detailed responses.  </w:t>
      </w:r>
    </w:p>
    <w:p w14:paraId="3A7F6C32"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In some classes you will be required to fill out </w:t>
      </w:r>
      <w:proofErr w:type="gramStart"/>
      <w:r w:rsidRPr="00156822">
        <w:rPr>
          <w:rFonts w:ascii="Times New Roman" w:hAnsi="Times New Roman" w:cs="Times New Roman"/>
        </w:rPr>
        <w:t>paper work</w:t>
      </w:r>
      <w:proofErr w:type="gramEnd"/>
      <w:r w:rsidRPr="00156822">
        <w:rPr>
          <w:rFonts w:ascii="Times New Roman" w:hAnsi="Times New Roman" w:cs="Times New Roman"/>
        </w:rPr>
        <w:t xml:space="preserve"> with your interviewee that affirms their willingness to participate in your ethnography. You should print out and organize the informed consent forms that you will be presenting to your informants. These forms are designed to give the interviewee an opportunity to declare in what context they are comfortable with their oral history being used. You should have the forms prepared beforehand</w:t>
      </w:r>
      <w:r w:rsidRPr="00156822">
        <w:rPr>
          <w:rFonts w:ascii="Times New Roman" w:hAnsi="Times New Roman" w:cs="Times New Roman"/>
          <w:i/>
        </w:rPr>
        <w:t xml:space="preserve">, </w:t>
      </w:r>
      <w:r w:rsidRPr="00156822">
        <w:rPr>
          <w:rFonts w:ascii="Times New Roman" w:hAnsi="Times New Roman" w:cs="Times New Roman"/>
        </w:rPr>
        <w:t xml:space="preserve">as they will explain the project to informants and ask their permission to use the contents of the interview. It is helpful to practice how you are going to introduce these consent forms to your interviewees. Depending on your goal, or that of your professor, you may be preserving this interview not only for your ethnography, but also for people to look back on in the future. For this reason, you need to make sure you have the proper paperwork to get permission to either use or archive your interview. </w:t>
      </w:r>
    </w:p>
    <w:p w14:paraId="45669401"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People need to be able to opt out of certain questions if they are uncomfortable; they might want the tape recorder turned off if they are giving you sensitive information they do not want recorded. Perhaps they are anxious about you recording and making public their immigration status, why they quit their job, or a personal trauma they experienced, but they still feel you should know.</w:t>
      </w:r>
    </w:p>
    <w:p w14:paraId="0B48BC0A"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Finally, before the interview, if you plan to preserve the recording, you must make sure you have audio equipment and it is working properly. For most interviews, cellphones are perfectly acceptable recording devices. Both Apple and Android phones have applications that generally serve the purposes of this project. Recording the interview is extremely helpful in the ethnographic process and offers possibilities for preserving the historic artifacts created with your informants. If permission is given to record the interview, this allows you to focus on active listening</w:t>
      </w:r>
      <w:r w:rsidRPr="00156822">
        <w:rPr>
          <w:rFonts w:ascii="Times New Roman" w:hAnsi="Times New Roman" w:cs="Times New Roman"/>
          <w:i/>
        </w:rPr>
        <w:t>,</w:t>
      </w:r>
      <w:r w:rsidRPr="00156822">
        <w:rPr>
          <w:rFonts w:ascii="Times New Roman" w:hAnsi="Times New Roman" w:cs="Times New Roman"/>
        </w:rPr>
        <w:t xml:space="preserve"> as opposed to writing down every significant observation made by your participant. While taking notes is still a pivotal part of the interview process, even while that interview is being recorded, simultaneously recording the interview allows you time to formulate new questions and think about the informant’s key points, as opposed to endlessly jotting down whole phrases or ideas. </w:t>
      </w:r>
    </w:p>
    <w:p w14:paraId="00627EAA" w14:textId="77777777" w:rsidR="00D91945" w:rsidRPr="00156822" w:rsidRDefault="00D91945" w:rsidP="00156822">
      <w:pPr>
        <w:rPr>
          <w:rFonts w:ascii="Times New Roman" w:hAnsi="Times New Roman" w:cs="Times New Roman"/>
        </w:rPr>
      </w:pPr>
    </w:p>
    <w:p w14:paraId="5DA1E79E" w14:textId="77777777" w:rsidR="00D91945" w:rsidRPr="00156822" w:rsidRDefault="00D91945" w:rsidP="00156822">
      <w:pPr>
        <w:pStyle w:val="Heading2"/>
        <w:spacing w:before="0"/>
        <w:rPr>
          <w:rFonts w:ascii="Times New Roman" w:hAnsi="Times New Roman" w:cs="Times New Roman"/>
          <w:sz w:val="24"/>
          <w:szCs w:val="24"/>
        </w:rPr>
      </w:pPr>
      <w:r w:rsidRPr="00156822">
        <w:rPr>
          <w:rFonts w:ascii="Times New Roman" w:hAnsi="Times New Roman" w:cs="Times New Roman"/>
          <w:sz w:val="24"/>
          <w:szCs w:val="24"/>
        </w:rPr>
        <w:lastRenderedPageBreak/>
        <w:t>Conducting an Interview</w:t>
      </w:r>
    </w:p>
    <w:p w14:paraId="4BB1C451" w14:textId="77777777" w:rsidR="00D91945" w:rsidRPr="00156822" w:rsidRDefault="00D91945" w:rsidP="00156822">
      <w:pPr>
        <w:rPr>
          <w:rFonts w:ascii="Times New Roman" w:hAnsi="Times New Roman" w:cs="Times New Roman"/>
        </w:rPr>
      </w:pPr>
      <w:r w:rsidRPr="00156822">
        <w:rPr>
          <w:rFonts w:ascii="Times New Roman" w:hAnsi="Times New Roman" w:cs="Times New Roman"/>
          <w:noProof/>
        </w:rPr>
        <w:drawing>
          <wp:inline distT="0" distB="0" distL="0" distR="0" wp14:anchorId="77B5371B" wp14:editId="7E10050F">
            <wp:extent cx="5943600" cy="17233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surrey 1.png"/>
                    <pic:cNvPicPr/>
                  </pic:nvPicPr>
                  <pic:blipFill>
                    <a:blip r:embed="rId77">
                      <a:extLst>
                        <a:ext uri="{28A0092B-C50C-407E-A947-70E740481C1C}">
                          <a14:useLocalDpi xmlns:a14="http://schemas.microsoft.com/office/drawing/2010/main" val="0"/>
                        </a:ext>
                      </a:extLst>
                    </a:blip>
                    <a:stretch>
                      <a:fillRect/>
                    </a:stretch>
                  </pic:blipFill>
                  <pic:spPr>
                    <a:xfrm>
                      <a:off x="0" y="0"/>
                      <a:ext cx="5943600" cy="1723390"/>
                    </a:xfrm>
                    <a:prstGeom prst="rect">
                      <a:avLst/>
                    </a:prstGeom>
                  </pic:spPr>
                </pic:pic>
              </a:graphicData>
            </a:graphic>
          </wp:inline>
        </w:drawing>
      </w:r>
    </w:p>
    <w:p w14:paraId="7DC53382"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Ideally you will record the interview to come back to and build upon for your ethnography. After turning on the recording device, and testing to be sure that it is recording, begin the formal interview by stating your name, the date, the name of your interviewee and the location of the interview. Then on the tape you will ask your interviewee for permission to record the interview, either exclusively to use for class work, or to have their interview preserved and archived. If you are not recording the interview, informed consent forms</w:t>
      </w:r>
      <w:r w:rsidRPr="00156822">
        <w:rPr>
          <w:rFonts w:ascii="Times New Roman" w:hAnsi="Times New Roman" w:cs="Times New Roman"/>
          <w:i/>
        </w:rPr>
        <w:t xml:space="preserve"> </w:t>
      </w:r>
      <w:r w:rsidRPr="00156822">
        <w:rPr>
          <w:rFonts w:ascii="Times New Roman" w:hAnsi="Times New Roman" w:cs="Times New Roman"/>
        </w:rPr>
        <w:t xml:space="preserve">are still helpful as they help your interviewee understand how the </w:t>
      </w:r>
      <w:proofErr w:type="gramStart"/>
      <w:r w:rsidRPr="00156822">
        <w:rPr>
          <w:rFonts w:ascii="Times New Roman" w:hAnsi="Times New Roman" w:cs="Times New Roman"/>
        </w:rPr>
        <w:t>information</w:t>
      </w:r>
      <w:proofErr w:type="gramEnd"/>
      <w:r w:rsidRPr="00156822">
        <w:rPr>
          <w:rFonts w:ascii="Times New Roman" w:hAnsi="Times New Roman" w:cs="Times New Roman"/>
        </w:rPr>
        <w:t xml:space="preserve"> they give you will be used. Explain what you are doing, why you selected this informant, how special you think their story will be. You can tell them that there are no right or wrong answers. </w:t>
      </w:r>
    </w:p>
    <w:p w14:paraId="11560B80"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The first few minutes are important for setting the tone of the interview. You want to make sure your informant is </w:t>
      </w:r>
      <w:proofErr w:type="gramStart"/>
      <w:r w:rsidRPr="00156822">
        <w:rPr>
          <w:rFonts w:ascii="Times New Roman" w:hAnsi="Times New Roman" w:cs="Times New Roman"/>
        </w:rPr>
        <w:t>comfortable</w:t>
      </w:r>
      <w:proofErr w:type="gramEnd"/>
      <w:r w:rsidRPr="00156822">
        <w:rPr>
          <w:rFonts w:ascii="Times New Roman" w:hAnsi="Times New Roman" w:cs="Times New Roman"/>
        </w:rPr>
        <w:t xml:space="preserve"> so they are as open and honest as possible. You generally should not start the interview with difficult questions that will make your interviewee uneasy. You would not start with a question like, “Tell me about the time you felt most hopeless when working at the factory.” Instead, start light, ask something like, “Tell me something about yourself that I would not know by looking at you?” “How did you become interested in working at that factory?” or “How did you imagine your career path when you were a child?” The first few questions are extremely important. If you make your interviewee uncomfortable at the beginning of the interview you will get less in-depth and candid responses than if you work your way up to the more difficult questions. (</w:t>
      </w:r>
      <w:proofErr w:type="spellStart"/>
      <w:r w:rsidRPr="00156822">
        <w:rPr>
          <w:rFonts w:ascii="Times New Roman" w:hAnsi="Times New Roman" w:cs="Times New Roman"/>
        </w:rPr>
        <w:t>Murchinson</w:t>
      </w:r>
      <w:proofErr w:type="spellEnd"/>
      <w:r w:rsidRPr="00156822">
        <w:rPr>
          <w:rFonts w:ascii="Times New Roman" w:hAnsi="Times New Roman" w:cs="Times New Roman"/>
        </w:rPr>
        <w:t>, 2010) Starting slow can be a great way to get into a rhythm for both you and your informant.</w:t>
      </w:r>
    </w:p>
    <w:p w14:paraId="2D03D7FC"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You should attempt to remain respectful of your informant’s narrative, even if it provokes anger, doubt or suspicion in you. You must be careful not to ask questions that give away your opinions on an issue you are asking about. Do not say, for instance, “This seems like a really nice place to work” or “You seem really frustrated with your boss.”  Something more like, “How do you feel about working here?”  or “If someone you cared about wanted a job here, what would you tell them?” Oftentimes interviewees will look for cues on how you feel about their answer to a </w:t>
      </w:r>
      <w:proofErr w:type="gramStart"/>
      <w:r w:rsidRPr="00156822">
        <w:rPr>
          <w:rFonts w:ascii="Times New Roman" w:hAnsi="Times New Roman" w:cs="Times New Roman"/>
        </w:rPr>
        <w:t>particular question</w:t>
      </w:r>
      <w:proofErr w:type="gramEnd"/>
      <w:r w:rsidRPr="00156822">
        <w:rPr>
          <w:rFonts w:ascii="Times New Roman" w:hAnsi="Times New Roman" w:cs="Times New Roman"/>
        </w:rPr>
        <w:t xml:space="preserve">. If you show that you either approve or disapprove of their response, it will likely change the way the interviewee responds to future questions. </w:t>
      </w:r>
    </w:p>
    <w:p w14:paraId="0781B804"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Further, you must be aware that interviewees may knowingly or unwittingly evade a question, exaggerate a story, provide incomplete information, or lie. This does not mean you should shy away from asking challenging or difficult questions. However, it is important to remember people generally want to present themselves in the best light possible. If you think someone may be misleading you, you can ask something like, “You mentioned you were the best athlete in your school, do you think all the other students would agree?” You may get more detail, you may not, or you may be interviewing the best athlete in the school! </w:t>
      </w:r>
    </w:p>
    <w:p w14:paraId="167D2049"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lastRenderedPageBreak/>
        <w:tab/>
        <w:t>What you hear from your interviewee is subjective, but it is this person’s</w:t>
      </w:r>
      <w:r w:rsidRPr="00156822">
        <w:rPr>
          <w:rFonts w:ascii="Times New Roman" w:hAnsi="Times New Roman" w:cs="Times New Roman"/>
          <w:i/>
        </w:rPr>
        <w:t xml:space="preserve"> </w:t>
      </w:r>
      <w:r w:rsidRPr="00156822">
        <w:rPr>
          <w:rFonts w:ascii="Times New Roman" w:hAnsi="Times New Roman" w:cs="Times New Roman"/>
        </w:rPr>
        <w:t xml:space="preserve">truth; or at least what they want you to know. Often the interviewee will present an </w:t>
      </w:r>
      <w:r w:rsidRPr="00156822">
        <w:rPr>
          <w:rFonts w:ascii="Times New Roman" w:hAnsi="Times New Roman" w:cs="Times New Roman"/>
          <w:i/>
        </w:rPr>
        <w:t xml:space="preserve">ideal, </w:t>
      </w:r>
      <w:r w:rsidRPr="00156822">
        <w:rPr>
          <w:rFonts w:ascii="Times New Roman" w:hAnsi="Times New Roman" w:cs="Times New Roman"/>
        </w:rPr>
        <w:t xml:space="preserve">as opposed to </w:t>
      </w:r>
      <w:r w:rsidRPr="00156822">
        <w:rPr>
          <w:rFonts w:ascii="Times New Roman" w:hAnsi="Times New Roman" w:cs="Times New Roman"/>
          <w:i/>
        </w:rPr>
        <w:t>real</w:t>
      </w:r>
      <w:r w:rsidRPr="00156822">
        <w:rPr>
          <w:rFonts w:ascii="Times New Roman" w:hAnsi="Times New Roman" w:cs="Times New Roman"/>
        </w:rPr>
        <w:t xml:space="preserve"> versions of themselves and their culture. Like any primary source, what your informant says during the interview offers you important insights into their worldview. Still, you must always be aware of your interviewee’s lens. Their narrative is shaped by their experiences and the historical moment in which they live. Always ask yourself how </w:t>
      </w:r>
      <w:proofErr w:type="gramStart"/>
      <w:r w:rsidRPr="00156822">
        <w:rPr>
          <w:rFonts w:ascii="Times New Roman" w:hAnsi="Times New Roman" w:cs="Times New Roman"/>
        </w:rPr>
        <w:t>might the informant</w:t>
      </w:r>
      <w:proofErr w:type="gramEnd"/>
      <w:r w:rsidRPr="00156822">
        <w:rPr>
          <w:rFonts w:ascii="Times New Roman" w:hAnsi="Times New Roman" w:cs="Times New Roman"/>
        </w:rPr>
        <w:t xml:space="preserve"> be attempting to shape your opinion with their explanation of events, traditions, daily routines, and personal experiences. Whether their perspective supports or challenges your conclusions, you must recognize the possibilities, as well as the limitations of this interview. (</w:t>
      </w:r>
      <w:proofErr w:type="spellStart"/>
      <w:r w:rsidRPr="00156822">
        <w:rPr>
          <w:rFonts w:ascii="Times New Roman" w:hAnsi="Times New Roman" w:cs="Times New Roman"/>
        </w:rPr>
        <w:t>Murchinson</w:t>
      </w:r>
      <w:proofErr w:type="spellEnd"/>
      <w:r w:rsidRPr="00156822">
        <w:rPr>
          <w:rFonts w:ascii="Times New Roman" w:hAnsi="Times New Roman" w:cs="Times New Roman"/>
        </w:rPr>
        <w:t>, 2010) Your interviewee cannot give you objective truth, therefore, your projects should not uncritically use anything that the interviewee said. Any assertions or insights that the interview provides should be backed up by other sources of information. We must utilize interviews as only one significant part of an ethnographic study. (</w:t>
      </w:r>
      <w:proofErr w:type="spellStart"/>
      <w:r w:rsidRPr="00156822">
        <w:rPr>
          <w:rFonts w:ascii="Times New Roman" w:hAnsi="Times New Roman" w:cs="Times New Roman"/>
        </w:rPr>
        <w:t>Esterberg</w:t>
      </w:r>
      <w:proofErr w:type="spellEnd"/>
      <w:r w:rsidRPr="00156822">
        <w:rPr>
          <w:rFonts w:ascii="Times New Roman" w:hAnsi="Times New Roman" w:cs="Times New Roman"/>
        </w:rPr>
        <w:t xml:space="preserve">, </w:t>
      </w:r>
      <w:r w:rsidRPr="00156822">
        <w:rPr>
          <w:rFonts w:ascii="Times New Roman" w:eastAsia="Times New Roman" w:hAnsi="Times New Roman" w:cs="Times New Roman"/>
        </w:rPr>
        <w:t>2002</w:t>
      </w:r>
      <w:r w:rsidRPr="00156822">
        <w:rPr>
          <w:rFonts w:ascii="Times New Roman" w:hAnsi="Times New Roman" w:cs="Times New Roman"/>
        </w:rPr>
        <w:t>)</w:t>
      </w:r>
      <w:r w:rsidRPr="00156822">
        <w:rPr>
          <w:rFonts w:ascii="Times New Roman" w:eastAsia="Times New Roman" w:hAnsi="Times New Roman" w:cs="Times New Roman"/>
        </w:rPr>
        <w:t xml:space="preserve"> </w:t>
      </w:r>
    </w:p>
    <w:p w14:paraId="594C5826"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You, as the interviewer must guide, but not direct the interview. You need to allow the informants to tell their stories, but make sure the interview does not stray too far from your </w:t>
      </w:r>
      <w:proofErr w:type="gramStart"/>
      <w:r w:rsidRPr="00156822">
        <w:rPr>
          <w:rFonts w:ascii="Times New Roman" w:hAnsi="Times New Roman" w:cs="Times New Roman"/>
        </w:rPr>
        <w:t>topic</w:t>
      </w:r>
      <w:proofErr w:type="gramEnd"/>
      <w:r w:rsidRPr="00156822">
        <w:rPr>
          <w:rFonts w:ascii="Times New Roman" w:hAnsi="Times New Roman" w:cs="Times New Roman"/>
        </w:rPr>
        <w:t xml:space="preserve"> so it remains useful to your ethnography. People might wander off topic, let them go for a bit, but always, delicately, get back to your questions. Something like, “That’s interesting. Can we go back to talk more about how your political views were formed?” If you do not understand a response, it is okay to ask your interviewee to explain what they mean. You can say, “Sorry I did not get that,” or “Can you explain that a bit more, I am not sure I understand.” </w:t>
      </w:r>
    </w:p>
    <w:p w14:paraId="60DE9C85"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As an interviewer, you should also make sure that you do not finish the sentences of interviewees. Try to be comfortable in silence after asking a question. This is one of the most difficult, but important parts of the interviewing process. By doing this you are giving interviewee time to think and craft a response in their mind. This is essential to seeing the world as your interviewee is explaining it. If you are asking about a delicate topic, sometimes you can offer a </w:t>
      </w:r>
      <w:proofErr w:type="gramStart"/>
      <w:r w:rsidRPr="00156822">
        <w:rPr>
          <w:rFonts w:ascii="Times New Roman" w:hAnsi="Times New Roman" w:cs="Times New Roman"/>
        </w:rPr>
        <w:t>wide-range</w:t>
      </w:r>
      <w:proofErr w:type="gramEnd"/>
      <w:r w:rsidRPr="00156822">
        <w:rPr>
          <w:rFonts w:ascii="Times New Roman" w:hAnsi="Times New Roman" w:cs="Times New Roman"/>
        </w:rPr>
        <w:t xml:space="preserve"> of possible responses so that respondents feel free to say something not so positive.  For instance, “can you tell me about your growing up–some people have wonderful stories about family, some have difficult stories, some have both. How would you describe the family situation in which you grew up?” or “I wanted to ask you about your job. Some people are really focused on what they like about their work, others complain about aspects and lots of people seem to feel mixed.  How would you describe your work situation?”</w:t>
      </w:r>
    </w:p>
    <w:p w14:paraId="572777AD"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Throughout the interview, take notes on insights you find interesting or important, words or phrases you find to be compelling, or questions you want to follow up on. This exercise both helps you formulate follow-up questions and will remind you later of your preliminary thoughts. Some interviewers take two-column notes; writing notes on a page with a line down the middle. On the left they jot down notes of what was said verbatim and on the </w:t>
      </w:r>
      <w:proofErr w:type="gramStart"/>
      <w:r w:rsidRPr="00156822">
        <w:rPr>
          <w:rFonts w:ascii="Times New Roman" w:hAnsi="Times New Roman" w:cs="Times New Roman"/>
        </w:rPr>
        <w:t>right</w:t>
      </w:r>
      <w:proofErr w:type="gramEnd"/>
      <w:r w:rsidRPr="00156822">
        <w:rPr>
          <w:rFonts w:ascii="Times New Roman" w:hAnsi="Times New Roman" w:cs="Times New Roman"/>
        </w:rPr>
        <w:t xml:space="preserve"> they write follow-up questions, ideas for future research, or comments for when they revise their notes at a later date. </w:t>
      </w:r>
    </w:p>
    <w:p w14:paraId="20270E21" w14:textId="77777777" w:rsidR="00D91945" w:rsidRPr="00156822" w:rsidRDefault="00D91945" w:rsidP="00156822">
      <w:pPr>
        <w:rPr>
          <w:rFonts w:ascii="Times New Roman" w:hAnsi="Times New Roman" w:cs="Times New Roman"/>
        </w:rPr>
      </w:pPr>
      <w:r w:rsidRPr="00156822">
        <w:rPr>
          <w:rFonts w:ascii="Times New Roman" w:hAnsi="Times New Roman" w:cs="Times New Roman"/>
          <w:noProof/>
        </w:rPr>
        <w:lastRenderedPageBreak/>
        <w:drawing>
          <wp:inline distT="0" distB="0" distL="0" distR="0" wp14:anchorId="479F1333" wp14:editId="3CB06405">
            <wp:extent cx="4582164" cy="360095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esurrey 2.png"/>
                    <pic:cNvPicPr/>
                  </pic:nvPicPr>
                  <pic:blipFill>
                    <a:blip r:embed="rId78">
                      <a:extLst>
                        <a:ext uri="{28A0092B-C50C-407E-A947-70E740481C1C}">
                          <a14:useLocalDpi xmlns:a14="http://schemas.microsoft.com/office/drawing/2010/main" val="0"/>
                        </a:ext>
                      </a:extLst>
                    </a:blip>
                    <a:stretch>
                      <a:fillRect/>
                    </a:stretch>
                  </pic:blipFill>
                  <pic:spPr>
                    <a:xfrm>
                      <a:off x="0" y="0"/>
                      <a:ext cx="4582164" cy="3600953"/>
                    </a:xfrm>
                    <a:prstGeom prst="rect">
                      <a:avLst/>
                    </a:prstGeom>
                  </pic:spPr>
                </pic:pic>
              </a:graphicData>
            </a:graphic>
          </wp:inline>
        </w:drawing>
      </w:r>
      <w:r w:rsidRPr="00156822">
        <w:rPr>
          <w:rFonts w:ascii="Times New Roman" w:hAnsi="Times New Roman" w:cs="Times New Roman"/>
        </w:rPr>
        <w:tab/>
      </w:r>
    </w:p>
    <w:p w14:paraId="47D4E47F" w14:textId="77777777" w:rsidR="00156822" w:rsidRDefault="00156822" w:rsidP="00156822">
      <w:pPr>
        <w:rPr>
          <w:rFonts w:ascii="Times New Roman" w:hAnsi="Times New Roman" w:cs="Times New Roman"/>
        </w:rPr>
      </w:pPr>
    </w:p>
    <w:p w14:paraId="1555B925" w14:textId="4D4EB573" w:rsidR="00D91945" w:rsidRDefault="00156822" w:rsidP="00156822">
      <w:pPr>
        <w:rPr>
          <w:rFonts w:ascii="Times New Roman" w:hAnsi="Times New Roman" w:cs="Times New Roman"/>
        </w:rPr>
      </w:pPr>
      <w:r>
        <w:rPr>
          <w:rFonts w:ascii="Times New Roman" w:hAnsi="Times New Roman" w:cs="Times New Roman"/>
        </w:rPr>
        <w:t>W</w:t>
      </w:r>
      <w:r w:rsidR="00D91945" w:rsidRPr="00156822">
        <w:rPr>
          <w:rFonts w:ascii="Times New Roman" w:hAnsi="Times New Roman" w:cs="Times New Roman"/>
        </w:rPr>
        <w:t>hile it’s extremely important to have prepared a range of topics and questions, especially in formal interviews, you must also be an active listener, adjusting your questions and creating new follow-up questions based on the responses of your informant. If you find yourself too focused on your next question, you might miss something crucial in your informants’ response. What you missed could have altered your line of questioning, or help you realize you are making assumptions that do not apply to your interviewee. (</w:t>
      </w:r>
      <w:proofErr w:type="spellStart"/>
      <w:r w:rsidR="00D91945" w:rsidRPr="00156822">
        <w:rPr>
          <w:rFonts w:ascii="Times New Roman" w:hAnsi="Times New Roman" w:cs="Times New Roman"/>
        </w:rPr>
        <w:t>Murchinson</w:t>
      </w:r>
      <w:proofErr w:type="spellEnd"/>
      <w:r w:rsidR="00D91945" w:rsidRPr="00156822">
        <w:rPr>
          <w:rFonts w:ascii="Times New Roman" w:hAnsi="Times New Roman" w:cs="Times New Roman"/>
        </w:rPr>
        <w:t xml:space="preserve">, 2010) Being an active listener is not an easy task, but it is essential to </w:t>
      </w:r>
      <w:proofErr w:type="gramStart"/>
      <w:r w:rsidR="00D91945" w:rsidRPr="00156822">
        <w:rPr>
          <w:rFonts w:ascii="Times New Roman" w:hAnsi="Times New Roman" w:cs="Times New Roman"/>
        </w:rPr>
        <w:t>being</w:t>
      </w:r>
      <w:proofErr w:type="gramEnd"/>
      <w:r w:rsidR="00D91945" w:rsidRPr="00156822">
        <w:rPr>
          <w:rFonts w:ascii="Times New Roman" w:hAnsi="Times New Roman" w:cs="Times New Roman"/>
        </w:rPr>
        <w:t xml:space="preserve"> a good interviewer. </w:t>
      </w:r>
      <w:r w:rsidR="00D91945" w:rsidRPr="00156822">
        <w:rPr>
          <w:rFonts w:ascii="Times New Roman" w:hAnsi="Times New Roman" w:cs="Times New Roman"/>
        </w:rPr>
        <w:tab/>
      </w:r>
    </w:p>
    <w:p w14:paraId="5F93EA65" w14:textId="77777777" w:rsidR="00156822" w:rsidRPr="00156822" w:rsidRDefault="00156822" w:rsidP="00156822">
      <w:pPr>
        <w:rPr>
          <w:rFonts w:ascii="Times New Roman" w:hAnsi="Times New Roman" w:cs="Times New Roman"/>
        </w:rPr>
      </w:pPr>
    </w:p>
    <w:p w14:paraId="74D9E810" w14:textId="77777777" w:rsidR="00156822" w:rsidRDefault="00D91945" w:rsidP="00156822">
      <w:pPr>
        <w:rPr>
          <w:rFonts w:ascii="Times New Roman" w:hAnsi="Times New Roman" w:cs="Times New Roman"/>
        </w:rPr>
      </w:pPr>
      <w:r w:rsidRPr="00156822">
        <w:rPr>
          <w:rFonts w:ascii="Times New Roman" w:hAnsi="Times New Roman" w:cs="Times New Roman"/>
          <w:noProof/>
        </w:rPr>
        <w:drawing>
          <wp:inline distT="0" distB="0" distL="0" distR="0" wp14:anchorId="55F9DB26" wp14:editId="6D5917A5">
            <wp:extent cx="5943600" cy="13881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nesurrey 3.png"/>
                    <pic:cNvPicPr/>
                  </pic:nvPicPr>
                  <pic:blipFill>
                    <a:blip r:embed="rId79">
                      <a:extLst>
                        <a:ext uri="{28A0092B-C50C-407E-A947-70E740481C1C}">
                          <a14:useLocalDpi xmlns:a14="http://schemas.microsoft.com/office/drawing/2010/main" val="0"/>
                        </a:ext>
                      </a:extLst>
                    </a:blip>
                    <a:stretch>
                      <a:fillRect/>
                    </a:stretch>
                  </pic:blipFill>
                  <pic:spPr>
                    <a:xfrm>
                      <a:off x="0" y="0"/>
                      <a:ext cx="5943600" cy="1388110"/>
                    </a:xfrm>
                    <a:prstGeom prst="rect">
                      <a:avLst/>
                    </a:prstGeom>
                  </pic:spPr>
                </pic:pic>
              </a:graphicData>
            </a:graphic>
          </wp:inline>
        </w:drawing>
      </w:r>
      <w:r w:rsidRPr="00156822">
        <w:rPr>
          <w:rFonts w:ascii="Times New Roman" w:hAnsi="Times New Roman" w:cs="Times New Roman"/>
        </w:rPr>
        <w:tab/>
      </w:r>
    </w:p>
    <w:p w14:paraId="14AC79EA" w14:textId="48941AEE" w:rsidR="00D91945" w:rsidRPr="00156822" w:rsidRDefault="00D91945" w:rsidP="00156822">
      <w:pPr>
        <w:ind w:firstLine="720"/>
        <w:rPr>
          <w:rFonts w:ascii="Times New Roman" w:hAnsi="Times New Roman" w:cs="Times New Roman"/>
        </w:rPr>
      </w:pPr>
      <w:r w:rsidRPr="00156822">
        <w:rPr>
          <w:rFonts w:ascii="Times New Roman" w:hAnsi="Times New Roman" w:cs="Times New Roman"/>
        </w:rPr>
        <w:t xml:space="preserve">Be careful around particularly sensitive topics such as immigration status, illicit activities, gender, sexuality, religious race or class identity, abuse, money, and politics. If we engage in this line of </w:t>
      </w:r>
      <w:proofErr w:type="gramStart"/>
      <w:r w:rsidRPr="00156822">
        <w:rPr>
          <w:rFonts w:ascii="Times New Roman" w:hAnsi="Times New Roman" w:cs="Times New Roman"/>
        </w:rPr>
        <w:t>questioning</w:t>
      </w:r>
      <w:proofErr w:type="gramEnd"/>
      <w:r w:rsidRPr="00156822">
        <w:rPr>
          <w:rFonts w:ascii="Times New Roman" w:hAnsi="Times New Roman" w:cs="Times New Roman"/>
        </w:rPr>
        <w:t xml:space="preserve"> we must make sure the interviewee is prepared for these types of questions, that they fit into subject of the interview, and that the informant knows they do not have to answer any questions they are not comfortable answering. It is completely acceptable to say, “I have some questions that may be delicate.  If you would rather not answer, just tell me, that’s fine.” </w:t>
      </w:r>
    </w:p>
    <w:p w14:paraId="37CDC5B3"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lastRenderedPageBreak/>
        <w:tab/>
        <w:t>After finishing your list of questions, it is advisable to ask the interviewee, “Is there anything I should have</w:t>
      </w:r>
      <w:r w:rsidRPr="00156822">
        <w:rPr>
          <w:rFonts w:ascii="Times New Roman" w:hAnsi="Times New Roman" w:cs="Times New Roman"/>
          <w:i/>
        </w:rPr>
        <w:t xml:space="preserve"> </w:t>
      </w:r>
      <w:r w:rsidRPr="00156822">
        <w:rPr>
          <w:rFonts w:ascii="Times New Roman" w:hAnsi="Times New Roman" w:cs="Times New Roman"/>
        </w:rPr>
        <w:t>asked, but didn’t?” or something like, “I am going to interview many people like yourself. What questions would you be interested in asking others like you?”  These types of questions can give us additional insight into the most critical topics according to the interviewee. Sometimes the answers to these types of questions are quite revealing and will often lead to a new set of questions. You should be prepared for this type of question to extend the interview.</w:t>
      </w:r>
    </w:p>
    <w:p w14:paraId="6C2626A3"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Before you leave, make sure your informant has signed </w:t>
      </w:r>
      <w:proofErr w:type="gramStart"/>
      <w:r w:rsidRPr="00156822">
        <w:rPr>
          <w:rFonts w:ascii="Times New Roman" w:hAnsi="Times New Roman" w:cs="Times New Roman"/>
        </w:rPr>
        <w:t>all of</w:t>
      </w:r>
      <w:proofErr w:type="gramEnd"/>
      <w:r w:rsidRPr="00156822">
        <w:rPr>
          <w:rFonts w:ascii="Times New Roman" w:hAnsi="Times New Roman" w:cs="Times New Roman"/>
        </w:rPr>
        <w:t xml:space="preserve"> the necessary </w:t>
      </w:r>
      <w:r w:rsidRPr="00156822">
        <w:rPr>
          <w:rFonts w:ascii="Times New Roman" w:hAnsi="Times New Roman" w:cs="Times New Roman"/>
          <w:i/>
        </w:rPr>
        <w:t xml:space="preserve">informed consent forms. </w:t>
      </w:r>
      <w:r w:rsidRPr="00156822">
        <w:rPr>
          <w:rFonts w:ascii="Times New Roman" w:hAnsi="Times New Roman" w:cs="Times New Roman"/>
        </w:rPr>
        <w:t>Then ask if your informant has any pictures, journal entries, newspaper clippings, or other primary documents that they would be willing to lend you for your ethnography. This will help verify and expand upon the information they shared with you during the interview process, but this new data may also lead to a follow up interview. Offer to send your interviewee a copy of the recording, or the resulting ethnography. Finally, follow-up the interview with a note of thanks.</w:t>
      </w:r>
    </w:p>
    <w:p w14:paraId="6BFE311A" w14:textId="77777777" w:rsidR="00156822" w:rsidRDefault="00156822" w:rsidP="00156822">
      <w:pPr>
        <w:pStyle w:val="Heading2"/>
        <w:spacing w:before="0"/>
        <w:rPr>
          <w:rFonts w:ascii="Times New Roman" w:hAnsi="Times New Roman" w:cs="Times New Roman"/>
          <w:sz w:val="24"/>
          <w:szCs w:val="24"/>
        </w:rPr>
      </w:pPr>
    </w:p>
    <w:p w14:paraId="70E5CC12" w14:textId="11AEAC95" w:rsidR="00D91945" w:rsidRPr="00156822" w:rsidRDefault="00D91945" w:rsidP="00156822">
      <w:pPr>
        <w:pStyle w:val="Heading2"/>
        <w:spacing w:before="0"/>
        <w:rPr>
          <w:rFonts w:ascii="Times New Roman" w:hAnsi="Times New Roman" w:cs="Times New Roman"/>
          <w:sz w:val="24"/>
          <w:szCs w:val="24"/>
        </w:rPr>
      </w:pPr>
      <w:r w:rsidRPr="00156822">
        <w:rPr>
          <w:rFonts w:ascii="Times New Roman" w:hAnsi="Times New Roman" w:cs="Times New Roman"/>
          <w:sz w:val="24"/>
          <w:szCs w:val="24"/>
        </w:rPr>
        <w:t>Evaluating Information from Interview</w:t>
      </w:r>
    </w:p>
    <w:p w14:paraId="3AD2C214"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Immediately after you part ways with your informant you should jot down any thoughts, questions, or ideas you took from the interview. By taking these notes, you can place what you just felt and heard in conversation with the larger ethnographic project. In the next day or two, listen to the recording. It is extremely helpful to take detailed notes on significant ideas and quotes to use for your ethnography while the interview is fresh in your mind. </w:t>
      </w:r>
    </w:p>
    <w:p w14:paraId="426C56B4" w14:textId="77777777" w:rsidR="00D91945" w:rsidRPr="00156822" w:rsidRDefault="00D91945" w:rsidP="00156822">
      <w:pPr>
        <w:rPr>
          <w:rFonts w:ascii="Times New Roman" w:hAnsi="Times New Roman" w:cs="Times New Roman"/>
          <w:i/>
        </w:rPr>
      </w:pPr>
      <w:r w:rsidRPr="00156822">
        <w:rPr>
          <w:rFonts w:ascii="Times New Roman" w:hAnsi="Times New Roman" w:cs="Times New Roman"/>
        </w:rPr>
        <w:tab/>
        <w:t xml:space="preserve">In many cases </w:t>
      </w:r>
      <w:r w:rsidRPr="00156822">
        <w:rPr>
          <w:rFonts w:ascii="Times New Roman" w:hAnsi="Times New Roman" w:cs="Times New Roman"/>
          <w:i/>
        </w:rPr>
        <w:t xml:space="preserve">transcribing </w:t>
      </w:r>
      <w:r w:rsidRPr="00156822">
        <w:rPr>
          <w:rFonts w:ascii="Times New Roman" w:hAnsi="Times New Roman" w:cs="Times New Roman"/>
        </w:rPr>
        <w:t>the interview is the best way to start the evaluation process. A transcription</w:t>
      </w:r>
      <w:r w:rsidRPr="00156822">
        <w:rPr>
          <w:rFonts w:ascii="Times New Roman" w:hAnsi="Times New Roman" w:cs="Times New Roman"/>
          <w:i/>
        </w:rPr>
        <w:t xml:space="preserve"> </w:t>
      </w:r>
      <w:r w:rsidRPr="00156822">
        <w:rPr>
          <w:rFonts w:ascii="Times New Roman" w:hAnsi="Times New Roman" w:cs="Times New Roman"/>
        </w:rPr>
        <w:t xml:space="preserve">is a typed-up version of the interview that either you, or someone else creates while listening to the recording. The best transcriptions document every word spoken during the recording including comments like [laughing] or [um….], words in other languages, or not in standard English. This makes it easier for you to </w:t>
      </w:r>
      <w:r w:rsidRPr="00156822">
        <w:rPr>
          <w:rFonts w:ascii="Times New Roman" w:hAnsi="Times New Roman" w:cs="Times New Roman"/>
          <w:i/>
        </w:rPr>
        <w:t xml:space="preserve">code </w:t>
      </w:r>
      <w:r w:rsidRPr="00156822">
        <w:rPr>
          <w:rFonts w:ascii="Times New Roman" w:hAnsi="Times New Roman" w:cs="Times New Roman"/>
        </w:rPr>
        <w:t>the interview, to mark patterns, commonalities and differences between events described by an individual, or in comparison to other narratives collected. It is best practice to transcribe</w:t>
      </w:r>
      <w:r w:rsidRPr="00156822">
        <w:rPr>
          <w:rFonts w:ascii="Times New Roman" w:hAnsi="Times New Roman" w:cs="Times New Roman"/>
          <w:i/>
        </w:rPr>
        <w:t xml:space="preserve"> </w:t>
      </w:r>
      <w:r w:rsidRPr="00156822">
        <w:rPr>
          <w:rFonts w:ascii="Times New Roman" w:hAnsi="Times New Roman" w:cs="Times New Roman"/>
        </w:rPr>
        <w:t>the interview</w:t>
      </w:r>
      <w:r w:rsidRPr="00156822">
        <w:rPr>
          <w:rFonts w:ascii="Times New Roman" w:hAnsi="Times New Roman" w:cs="Times New Roman"/>
          <w:i/>
        </w:rPr>
        <w:t xml:space="preserve"> </w:t>
      </w:r>
      <w:r w:rsidRPr="00156822">
        <w:rPr>
          <w:rFonts w:ascii="Times New Roman" w:hAnsi="Times New Roman" w:cs="Times New Roman"/>
        </w:rPr>
        <w:t>word-for-word for both use in your ethnography and to make it accessible for a wider audience. Further, if you have the time, it is best to transcribe the interview yourself. You will remember important details by listening again while transcribing</w:t>
      </w:r>
      <w:r w:rsidRPr="00156822">
        <w:rPr>
          <w:rFonts w:ascii="Times New Roman" w:hAnsi="Times New Roman" w:cs="Times New Roman"/>
          <w:i/>
        </w:rPr>
        <w:t xml:space="preserve"> </w:t>
      </w:r>
      <w:r w:rsidRPr="00156822">
        <w:rPr>
          <w:rFonts w:ascii="Times New Roman" w:hAnsi="Times New Roman" w:cs="Times New Roman"/>
        </w:rPr>
        <w:t>yourself, details that a professional transcriber might miss because they did not experience the interview. (Blackstone, 2012) If your interviewee has an accent or speaks in a language other than English, you will likely transcribe fewer errors than a professional transcriber. The text will serve as an important source for your ethnography, as well as a potential historical artifact for future researchers. Often, interviewees want a copy of their interview for themselves, their children, or their grandchildren.</w:t>
      </w:r>
    </w:p>
    <w:p w14:paraId="557B9DCE" w14:textId="77777777" w:rsidR="00156822" w:rsidRDefault="00156822" w:rsidP="00156822">
      <w:pPr>
        <w:pStyle w:val="Heading2"/>
        <w:spacing w:before="0"/>
        <w:rPr>
          <w:rFonts w:ascii="Times New Roman" w:hAnsi="Times New Roman" w:cs="Times New Roman"/>
          <w:sz w:val="24"/>
          <w:szCs w:val="24"/>
        </w:rPr>
      </w:pPr>
    </w:p>
    <w:p w14:paraId="2B9596D4" w14:textId="0261DC5A" w:rsidR="00D91945" w:rsidRPr="00156822" w:rsidRDefault="00D91945" w:rsidP="00156822">
      <w:pPr>
        <w:pStyle w:val="Heading2"/>
        <w:spacing w:before="0"/>
        <w:rPr>
          <w:rFonts w:ascii="Times New Roman" w:hAnsi="Times New Roman" w:cs="Times New Roman"/>
          <w:sz w:val="24"/>
          <w:szCs w:val="24"/>
        </w:rPr>
      </w:pPr>
      <w:r w:rsidRPr="00156822">
        <w:rPr>
          <w:rFonts w:ascii="Times New Roman" w:hAnsi="Times New Roman" w:cs="Times New Roman"/>
          <w:sz w:val="24"/>
          <w:szCs w:val="24"/>
        </w:rPr>
        <w:t>Preserving the Interview</w:t>
      </w:r>
    </w:p>
    <w:p w14:paraId="24C7FCDD"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 xml:space="preserve">By conducting an </w:t>
      </w:r>
      <w:proofErr w:type="gramStart"/>
      <w:r w:rsidRPr="00156822">
        <w:rPr>
          <w:rFonts w:ascii="Times New Roman" w:hAnsi="Times New Roman" w:cs="Times New Roman"/>
        </w:rPr>
        <w:t>interview</w:t>
      </w:r>
      <w:proofErr w:type="gramEnd"/>
      <w:r w:rsidRPr="00156822">
        <w:rPr>
          <w:rFonts w:ascii="Times New Roman" w:hAnsi="Times New Roman" w:cs="Times New Roman"/>
        </w:rPr>
        <w:t xml:space="preserve"> you become a producer of knowledge, influencing the ways a community, culture or individual is understood. Thus, the interview process is a tremendous opportunity, but it is also a great responsibility for interviewers, as you have been entrusted with someone else’s story. If you are archiving your interviews for future researchers, you have produced a primary source that documents the story of the person, community, or culture you were studying.  The interview also reveals the types of questions people were interested in during the time you lived. Often the consent forms</w:t>
      </w:r>
      <w:r w:rsidRPr="00156822">
        <w:rPr>
          <w:rFonts w:ascii="Times New Roman" w:hAnsi="Times New Roman" w:cs="Times New Roman"/>
          <w:i/>
        </w:rPr>
        <w:t xml:space="preserve"> </w:t>
      </w:r>
      <w:r w:rsidRPr="00156822">
        <w:rPr>
          <w:rFonts w:ascii="Times New Roman" w:hAnsi="Times New Roman" w:cs="Times New Roman"/>
        </w:rPr>
        <w:t>you have collected will allow you or your professor to archive</w:t>
      </w:r>
      <w:r w:rsidRPr="00156822">
        <w:rPr>
          <w:rFonts w:ascii="Times New Roman" w:hAnsi="Times New Roman" w:cs="Times New Roman"/>
          <w:i/>
        </w:rPr>
        <w:t xml:space="preserve"> </w:t>
      </w:r>
      <w:r w:rsidRPr="00156822">
        <w:rPr>
          <w:rFonts w:ascii="Times New Roman" w:hAnsi="Times New Roman" w:cs="Times New Roman"/>
        </w:rPr>
        <w:t xml:space="preserve">this recorded interview in some sort of collection. When appropriate, you should </w:t>
      </w:r>
      <w:r w:rsidRPr="00156822">
        <w:rPr>
          <w:rFonts w:ascii="Times New Roman" w:hAnsi="Times New Roman" w:cs="Times New Roman"/>
        </w:rPr>
        <w:lastRenderedPageBreak/>
        <w:t xml:space="preserve">discuss with your professor ways to make sure this testimony can be used by future researchers and can be of use to the person, family, and community who contributed the interview. And of course, be very careful never to archive information that you have not received permission to archive or information that would make a respondent vulnerable. </w:t>
      </w:r>
    </w:p>
    <w:p w14:paraId="273C6674"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ab/>
        <w:t>Interviews are crucial methods for documenting the history of the present. They allow us to gather stories about how people live in the world today so that we better understand the range of experiences of the present moment and so that people in the future have a record of everyday, non-elite experiences in the 21</w:t>
      </w:r>
      <w:r w:rsidRPr="00156822">
        <w:rPr>
          <w:rFonts w:ascii="Times New Roman" w:hAnsi="Times New Roman" w:cs="Times New Roman"/>
          <w:vertAlign w:val="superscript"/>
        </w:rPr>
        <w:t>st</w:t>
      </w:r>
      <w:r w:rsidRPr="00156822">
        <w:rPr>
          <w:rFonts w:ascii="Times New Roman" w:hAnsi="Times New Roman" w:cs="Times New Roman"/>
        </w:rPr>
        <w:t xml:space="preserve"> century.</w:t>
      </w:r>
    </w:p>
    <w:p w14:paraId="1B9097C9" w14:textId="77777777" w:rsidR="00156822" w:rsidRDefault="00156822" w:rsidP="00156822">
      <w:pPr>
        <w:pStyle w:val="Heading2"/>
        <w:spacing w:before="0"/>
        <w:rPr>
          <w:rFonts w:ascii="Times New Roman" w:hAnsi="Times New Roman" w:cs="Times New Roman"/>
          <w:sz w:val="24"/>
          <w:szCs w:val="24"/>
        </w:rPr>
      </w:pPr>
    </w:p>
    <w:p w14:paraId="70D81D4B" w14:textId="151BCB2B" w:rsidR="00D91945" w:rsidRPr="00156822" w:rsidRDefault="00D91945" w:rsidP="00156822">
      <w:pPr>
        <w:pStyle w:val="Heading2"/>
        <w:spacing w:before="0"/>
        <w:rPr>
          <w:rFonts w:ascii="Times New Roman" w:hAnsi="Times New Roman" w:cs="Times New Roman"/>
          <w:sz w:val="24"/>
          <w:szCs w:val="24"/>
        </w:rPr>
      </w:pPr>
      <w:r w:rsidRPr="00156822">
        <w:rPr>
          <w:rFonts w:ascii="Times New Roman" w:hAnsi="Times New Roman" w:cs="Times New Roman"/>
          <w:sz w:val="24"/>
          <w:szCs w:val="24"/>
        </w:rPr>
        <w:t>Chapter Summary</w:t>
      </w:r>
    </w:p>
    <w:p w14:paraId="2DE8BFEE" w14:textId="77777777" w:rsidR="00D91945" w:rsidRPr="00156822" w:rsidRDefault="00D91945" w:rsidP="00156822">
      <w:pPr>
        <w:pStyle w:val="ListParagraph"/>
        <w:numPr>
          <w:ilvl w:val="0"/>
          <w:numId w:val="41"/>
        </w:numPr>
        <w:rPr>
          <w:rFonts w:ascii="Times New Roman" w:hAnsi="Times New Roman" w:cs="Times New Roman"/>
        </w:rPr>
      </w:pPr>
      <w:r w:rsidRPr="00156822">
        <w:rPr>
          <w:rFonts w:ascii="Times New Roman" w:hAnsi="Times New Roman" w:cs="Times New Roman"/>
        </w:rPr>
        <w:t xml:space="preserve">The chapter outlined distinct kinds of interviews. </w:t>
      </w:r>
    </w:p>
    <w:p w14:paraId="5517E6B3" w14:textId="77777777" w:rsidR="00D91945" w:rsidRPr="00156822" w:rsidRDefault="00D91945" w:rsidP="00156822">
      <w:pPr>
        <w:pStyle w:val="ListParagraph"/>
        <w:numPr>
          <w:ilvl w:val="0"/>
          <w:numId w:val="41"/>
        </w:numPr>
        <w:rPr>
          <w:rFonts w:ascii="Times New Roman" w:hAnsi="Times New Roman" w:cs="Times New Roman"/>
        </w:rPr>
      </w:pPr>
      <w:r w:rsidRPr="00156822">
        <w:rPr>
          <w:rFonts w:ascii="Times New Roman" w:hAnsi="Times New Roman" w:cs="Times New Roman"/>
        </w:rPr>
        <w:t xml:space="preserve">This chapter covered the best practices in prepping for interviews. </w:t>
      </w:r>
    </w:p>
    <w:p w14:paraId="10FA47AF" w14:textId="77777777" w:rsidR="00D91945" w:rsidRPr="00156822" w:rsidRDefault="00D91945" w:rsidP="00156822">
      <w:pPr>
        <w:pStyle w:val="ListParagraph"/>
        <w:numPr>
          <w:ilvl w:val="0"/>
          <w:numId w:val="41"/>
        </w:numPr>
        <w:rPr>
          <w:rFonts w:ascii="Times New Roman" w:hAnsi="Times New Roman" w:cs="Times New Roman"/>
        </w:rPr>
      </w:pPr>
      <w:r w:rsidRPr="00156822">
        <w:rPr>
          <w:rFonts w:ascii="Times New Roman" w:hAnsi="Times New Roman" w:cs="Times New Roman"/>
        </w:rPr>
        <w:t xml:space="preserve">It detailed how best to conduct an interview. </w:t>
      </w:r>
    </w:p>
    <w:p w14:paraId="6C9CB234" w14:textId="77777777" w:rsidR="00D91945" w:rsidRPr="00156822" w:rsidRDefault="00D91945" w:rsidP="00156822">
      <w:pPr>
        <w:pStyle w:val="ListParagraph"/>
        <w:numPr>
          <w:ilvl w:val="0"/>
          <w:numId w:val="41"/>
        </w:numPr>
        <w:rPr>
          <w:rFonts w:ascii="Times New Roman" w:hAnsi="Times New Roman" w:cs="Times New Roman"/>
        </w:rPr>
      </w:pPr>
      <w:r w:rsidRPr="00156822">
        <w:rPr>
          <w:rFonts w:ascii="Times New Roman" w:hAnsi="Times New Roman" w:cs="Times New Roman"/>
        </w:rPr>
        <w:t xml:space="preserve">It explained the process of evaluating interviews. </w:t>
      </w:r>
    </w:p>
    <w:p w14:paraId="526D667B" w14:textId="77777777" w:rsidR="00D91945" w:rsidRPr="00156822" w:rsidRDefault="00D91945" w:rsidP="00156822">
      <w:pPr>
        <w:pStyle w:val="ListParagraph"/>
        <w:numPr>
          <w:ilvl w:val="0"/>
          <w:numId w:val="41"/>
        </w:numPr>
        <w:rPr>
          <w:rFonts w:ascii="Times New Roman" w:hAnsi="Times New Roman" w:cs="Times New Roman"/>
        </w:rPr>
      </w:pPr>
      <w:r w:rsidRPr="00156822">
        <w:rPr>
          <w:rFonts w:ascii="Times New Roman" w:hAnsi="Times New Roman" w:cs="Times New Roman"/>
        </w:rPr>
        <w:t xml:space="preserve">This chapter explored how best to </w:t>
      </w:r>
      <w:r w:rsidRPr="00156822">
        <w:rPr>
          <w:rFonts w:ascii="Times New Roman" w:hAnsi="Times New Roman" w:cs="Times New Roman"/>
          <w:i/>
        </w:rPr>
        <w:t>archive</w:t>
      </w:r>
      <w:r w:rsidRPr="00156822">
        <w:rPr>
          <w:rFonts w:ascii="Times New Roman" w:hAnsi="Times New Roman" w:cs="Times New Roman"/>
        </w:rPr>
        <w:t xml:space="preserve"> your interviews </w:t>
      </w:r>
      <w:proofErr w:type="gramStart"/>
      <w:r w:rsidRPr="00156822">
        <w:rPr>
          <w:rFonts w:ascii="Times New Roman" w:hAnsi="Times New Roman" w:cs="Times New Roman"/>
        </w:rPr>
        <w:t>as a way to</w:t>
      </w:r>
      <w:proofErr w:type="gramEnd"/>
      <w:r w:rsidRPr="00156822">
        <w:rPr>
          <w:rFonts w:ascii="Times New Roman" w:hAnsi="Times New Roman" w:cs="Times New Roman"/>
        </w:rPr>
        <w:t xml:space="preserve"> preserve them and educate future generations. </w:t>
      </w:r>
    </w:p>
    <w:p w14:paraId="4A01649C" w14:textId="77777777" w:rsidR="00D91945" w:rsidRPr="00156822" w:rsidRDefault="00D91945" w:rsidP="00156822">
      <w:pPr>
        <w:rPr>
          <w:rFonts w:ascii="Times New Roman" w:hAnsi="Times New Roman" w:cs="Times New Roman"/>
        </w:rPr>
      </w:pPr>
    </w:p>
    <w:p w14:paraId="327D8C0A" w14:textId="77777777" w:rsidR="00D91945" w:rsidRPr="00156822" w:rsidRDefault="00D91945" w:rsidP="00156822">
      <w:pPr>
        <w:pStyle w:val="Heading2"/>
        <w:spacing w:before="0"/>
        <w:rPr>
          <w:rFonts w:ascii="Times New Roman" w:hAnsi="Times New Roman" w:cs="Times New Roman"/>
          <w:color w:val="auto"/>
          <w:sz w:val="24"/>
          <w:szCs w:val="24"/>
        </w:rPr>
      </w:pPr>
      <w:r w:rsidRPr="00156822">
        <w:rPr>
          <w:rFonts w:ascii="Times New Roman" w:hAnsi="Times New Roman" w:cs="Times New Roman"/>
          <w:color w:val="auto"/>
          <w:sz w:val="24"/>
          <w:szCs w:val="24"/>
        </w:rPr>
        <w:t>Chapter Questions:</w:t>
      </w:r>
    </w:p>
    <w:p w14:paraId="15722D88" w14:textId="77777777" w:rsidR="00D91945" w:rsidRPr="00156822" w:rsidRDefault="00D91945" w:rsidP="00156822">
      <w:pPr>
        <w:autoSpaceDE w:val="0"/>
        <w:autoSpaceDN w:val="0"/>
        <w:adjustRightInd w:val="0"/>
        <w:rPr>
          <w:rFonts w:ascii="Times New Roman" w:hAnsi="Times New Roman" w:cs="Times New Roman"/>
        </w:rPr>
      </w:pPr>
    </w:p>
    <w:p w14:paraId="58498256"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Why are interviews useful in ethnographic work?</w:t>
      </w:r>
    </w:p>
    <w:p w14:paraId="171A0578" w14:textId="77777777" w:rsidR="00D91945" w:rsidRPr="00156822" w:rsidRDefault="00D91945" w:rsidP="00156822">
      <w:pPr>
        <w:rPr>
          <w:rFonts w:ascii="Times New Roman" w:hAnsi="Times New Roman" w:cs="Times New Roman"/>
        </w:rPr>
      </w:pPr>
    </w:p>
    <w:p w14:paraId="5C509978"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What are the different types of interviews and when is each useful toward building a strong ethnography?</w:t>
      </w:r>
    </w:p>
    <w:p w14:paraId="1B1C785F" w14:textId="77777777" w:rsidR="00D91945" w:rsidRPr="00156822" w:rsidRDefault="00D91945" w:rsidP="00156822">
      <w:pPr>
        <w:rPr>
          <w:rFonts w:ascii="Times New Roman" w:hAnsi="Times New Roman" w:cs="Times New Roman"/>
        </w:rPr>
      </w:pPr>
    </w:p>
    <w:p w14:paraId="2E429DF1"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What are the six steps to preparing for an interview?</w:t>
      </w:r>
    </w:p>
    <w:p w14:paraId="4CB200B0" w14:textId="77777777" w:rsidR="00D91945" w:rsidRPr="00156822" w:rsidRDefault="00D91945" w:rsidP="00156822">
      <w:pPr>
        <w:rPr>
          <w:rFonts w:ascii="Times New Roman" w:hAnsi="Times New Roman" w:cs="Times New Roman"/>
        </w:rPr>
      </w:pPr>
    </w:p>
    <w:p w14:paraId="63D14D7B"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What sort of background is useful before the interview?</w:t>
      </w:r>
    </w:p>
    <w:p w14:paraId="6F9656F3" w14:textId="77777777" w:rsidR="00D91945" w:rsidRPr="00156822" w:rsidRDefault="00D91945" w:rsidP="00156822">
      <w:pPr>
        <w:rPr>
          <w:rFonts w:ascii="Times New Roman" w:hAnsi="Times New Roman" w:cs="Times New Roman"/>
        </w:rPr>
      </w:pPr>
    </w:p>
    <w:p w14:paraId="75929E5D"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Why is it important to think about your informant’s point of view?</w:t>
      </w:r>
    </w:p>
    <w:p w14:paraId="14D239D1" w14:textId="77777777" w:rsidR="00D91945" w:rsidRPr="00156822" w:rsidRDefault="00D91945" w:rsidP="00156822">
      <w:pPr>
        <w:rPr>
          <w:rFonts w:ascii="Times New Roman" w:hAnsi="Times New Roman" w:cs="Times New Roman"/>
        </w:rPr>
      </w:pPr>
    </w:p>
    <w:p w14:paraId="6000CD48"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 xml:space="preserve">How would you explain the difference between </w:t>
      </w:r>
      <w:r w:rsidRPr="00156822">
        <w:rPr>
          <w:rFonts w:ascii="Times New Roman" w:hAnsi="Times New Roman" w:cs="Times New Roman"/>
          <w:i/>
        </w:rPr>
        <w:t>real</w:t>
      </w:r>
      <w:r w:rsidRPr="00156822">
        <w:rPr>
          <w:rFonts w:ascii="Times New Roman" w:hAnsi="Times New Roman" w:cs="Times New Roman"/>
        </w:rPr>
        <w:t xml:space="preserve"> and </w:t>
      </w:r>
      <w:r w:rsidRPr="00156822">
        <w:rPr>
          <w:rFonts w:ascii="Times New Roman" w:hAnsi="Times New Roman" w:cs="Times New Roman"/>
          <w:i/>
        </w:rPr>
        <w:t>ideal</w:t>
      </w:r>
      <w:r w:rsidRPr="00156822">
        <w:rPr>
          <w:rFonts w:ascii="Times New Roman" w:hAnsi="Times New Roman" w:cs="Times New Roman"/>
        </w:rPr>
        <w:t xml:space="preserve"> culture?</w:t>
      </w:r>
    </w:p>
    <w:p w14:paraId="19D03281" w14:textId="77777777" w:rsidR="00D91945" w:rsidRPr="00156822" w:rsidRDefault="00D91945" w:rsidP="00156822">
      <w:pPr>
        <w:rPr>
          <w:rFonts w:ascii="Times New Roman" w:hAnsi="Times New Roman" w:cs="Times New Roman"/>
        </w:rPr>
      </w:pPr>
    </w:p>
    <w:p w14:paraId="632E2F31"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 xml:space="preserve">How does a </w:t>
      </w:r>
      <w:r w:rsidRPr="00156822">
        <w:rPr>
          <w:rFonts w:ascii="Times New Roman" w:hAnsi="Times New Roman" w:cs="Times New Roman"/>
          <w:i/>
        </w:rPr>
        <w:t xml:space="preserve">guide, schedule </w:t>
      </w:r>
      <w:r w:rsidRPr="00156822">
        <w:rPr>
          <w:rFonts w:ascii="Times New Roman" w:hAnsi="Times New Roman" w:cs="Times New Roman"/>
        </w:rPr>
        <w:t xml:space="preserve">or </w:t>
      </w:r>
      <w:r w:rsidRPr="00156822">
        <w:rPr>
          <w:rFonts w:ascii="Times New Roman" w:hAnsi="Times New Roman" w:cs="Times New Roman"/>
          <w:i/>
        </w:rPr>
        <w:t xml:space="preserve">frame </w:t>
      </w:r>
      <w:r w:rsidRPr="00156822">
        <w:rPr>
          <w:rFonts w:ascii="Times New Roman" w:hAnsi="Times New Roman" w:cs="Times New Roman"/>
        </w:rPr>
        <w:t xml:space="preserve">help make you an </w:t>
      </w:r>
      <w:r w:rsidRPr="00156822">
        <w:rPr>
          <w:rFonts w:ascii="Times New Roman" w:hAnsi="Times New Roman" w:cs="Times New Roman"/>
          <w:i/>
        </w:rPr>
        <w:t>active listener</w:t>
      </w:r>
      <w:r w:rsidRPr="00156822">
        <w:rPr>
          <w:rFonts w:ascii="Times New Roman" w:hAnsi="Times New Roman" w:cs="Times New Roman"/>
        </w:rPr>
        <w:t>?</w:t>
      </w:r>
      <w:r w:rsidRPr="00156822">
        <w:rPr>
          <w:rFonts w:ascii="Times New Roman" w:hAnsi="Times New Roman" w:cs="Times New Roman"/>
          <w:i/>
        </w:rPr>
        <w:t xml:space="preserve"> </w:t>
      </w:r>
      <w:r w:rsidRPr="00156822">
        <w:rPr>
          <w:rFonts w:ascii="Times New Roman" w:hAnsi="Times New Roman" w:cs="Times New Roman"/>
        </w:rPr>
        <w:t>How does a recording the interview</w:t>
      </w:r>
      <w:r w:rsidRPr="00156822">
        <w:rPr>
          <w:rFonts w:ascii="Times New Roman" w:hAnsi="Times New Roman" w:cs="Times New Roman"/>
          <w:i/>
        </w:rPr>
        <w:t xml:space="preserve"> </w:t>
      </w:r>
      <w:r w:rsidRPr="00156822">
        <w:rPr>
          <w:rFonts w:ascii="Times New Roman" w:hAnsi="Times New Roman" w:cs="Times New Roman"/>
        </w:rPr>
        <w:t xml:space="preserve">help make you an </w:t>
      </w:r>
      <w:r w:rsidRPr="00156822">
        <w:rPr>
          <w:rFonts w:ascii="Times New Roman" w:hAnsi="Times New Roman" w:cs="Times New Roman"/>
          <w:i/>
        </w:rPr>
        <w:t>active listener</w:t>
      </w:r>
      <w:r w:rsidRPr="00156822">
        <w:rPr>
          <w:rFonts w:ascii="Times New Roman" w:hAnsi="Times New Roman" w:cs="Times New Roman"/>
        </w:rPr>
        <w:t>?</w:t>
      </w:r>
      <w:r w:rsidRPr="00156822">
        <w:rPr>
          <w:rFonts w:ascii="Times New Roman" w:hAnsi="Times New Roman" w:cs="Times New Roman"/>
          <w:i/>
        </w:rPr>
        <w:t xml:space="preserve"> </w:t>
      </w:r>
      <w:r w:rsidRPr="00156822">
        <w:rPr>
          <w:rFonts w:ascii="Times New Roman" w:hAnsi="Times New Roman" w:cs="Times New Roman"/>
        </w:rPr>
        <w:t xml:space="preserve">How does being an </w:t>
      </w:r>
      <w:r w:rsidRPr="00156822">
        <w:rPr>
          <w:rFonts w:ascii="Times New Roman" w:hAnsi="Times New Roman" w:cs="Times New Roman"/>
          <w:i/>
        </w:rPr>
        <w:t xml:space="preserve">active listener </w:t>
      </w:r>
      <w:r w:rsidRPr="00156822">
        <w:rPr>
          <w:rFonts w:ascii="Times New Roman" w:hAnsi="Times New Roman" w:cs="Times New Roman"/>
        </w:rPr>
        <w:t>improve the interview process?</w:t>
      </w:r>
    </w:p>
    <w:p w14:paraId="7DD54AB5" w14:textId="77777777" w:rsidR="00D91945" w:rsidRPr="00156822" w:rsidRDefault="00D91945" w:rsidP="00156822">
      <w:pPr>
        <w:rPr>
          <w:rFonts w:ascii="Times New Roman" w:hAnsi="Times New Roman" w:cs="Times New Roman"/>
        </w:rPr>
      </w:pPr>
    </w:p>
    <w:p w14:paraId="7A9FEEC5"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 xml:space="preserve">Why are </w:t>
      </w:r>
      <w:r w:rsidRPr="00156822">
        <w:rPr>
          <w:rFonts w:ascii="Times New Roman" w:hAnsi="Times New Roman" w:cs="Times New Roman"/>
          <w:i/>
        </w:rPr>
        <w:t xml:space="preserve">informed consent forms </w:t>
      </w:r>
      <w:r w:rsidRPr="00156822">
        <w:rPr>
          <w:rFonts w:ascii="Times New Roman" w:hAnsi="Times New Roman" w:cs="Times New Roman"/>
        </w:rPr>
        <w:t>important?</w:t>
      </w:r>
    </w:p>
    <w:p w14:paraId="649806DB" w14:textId="77777777" w:rsidR="00D91945" w:rsidRPr="00156822" w:rsidRDefault="00D91945" w:rsidP="00156822">
      <w:pPr>
        <w:rPr>
          <w:rFonts w:ascii="Times New Roman" w:hAnsi="Times New Roman" w:cs="Times New Roman"/>
        </w:rPr>
      </w:pPr>
    </w:p>
    <w:p w14:paraId="374BF32C"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How should you start an interview?</w:t>
      </w:r>
    </w:p>
    <w:p w14:paraId="77BCC33C" w14:textId="77777777" w:rsidR="00D91945" w:rsidRPr="00156822" w:rsidRDefault="00D91945" w:rsidP="00156822">
      <w:pPr>
        <w:rPr>
          <w:rFonts w:ascii="Times New Roman" w:hAnsi="Times New Roman" w:cs="Times New Roman"/>
        </w:rPr>
      </w:pPr>
    </w:p>
    <w:p w14:paraId="1F9AD65A"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 xml:space="preserve">Why is it important to frame questions in a neutral way? </w:t>
      </w:r>
    </w:p>
    <w:p w14:paraId="121DF06C" w14:textId="77777777" w:rsidR="00D91945" w:rsidRPr="00156822" w:rsidRDefault="00D91945" w:rsidP="00156822">
      <w:pPr>
        <w:rPr>
          <w:rFonts w:ascii="Times New Roman" w:hAnsi="Times New Roman" w:cs="Times New Roman"/>
        </w:rPr>
      </w:pPr>
    </w:p>
    <w:p w14:paraId="219D1BC7" w14:textId="77777777" w:rsidR="00D91945" w:rsidRPr="00156822" w:rsidRDefault="00D91945" w:rsidP="00156822">
      <w:pPr>
        <w:pStyle w:val="ListParagraph"/>
        <w:rPr>
          <w:rFonts w:ascii="Times New Roman" w:hAnsi="Times New Roman" w:cs="Times New Roman"/>
        </w:rPr>
      </w:pPr>
    </w:p>
    <w:p w14:paraId="233F7225"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What types of notes are useful when you are recording an interview?</w:t>
      </w:r>
    </w:p>
    <w:p w14:paraId="540AA88B" w14:textId="77777777" w:rsidR="00D91945" w:rsidRPr="00156822" w:rsidRDefault="00D91945" w:rsidP="00156822">
      <w:pPr>
        <w:ind w:left="360"/>
        <w:rPr>
          <w:rFonts w:ascii="Times New Roman" w:hAnsi="Times New Roman" w:cs="Times New Roman"/>
        </w:rPr>
      </w:pPr>
    </w:p>
    <w:p w14:paraId="37F0B1B1"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lastRenderedPageBreak/>
        <w:t>Write a paragraph detailing the how a subject that requires sensitivity might come up within the context of your interview and how might you address this subject with your interviewee.</w:t>
      </w:r>
    </w:p>
    <w:p w14:paraId="27DD9AEF" w14:textId="77777777" w:rsidR="00D91945" w:rsidRPr="00156822" w:rsidRDefault="00D91945" w:rsidP="00156822">
      <w:pPr>
        <w:pStyle w:val="ListParagraph"/>
        <w:rPr>
          <w:rFonts w:ascii="Times New Roman" w:hAnsi="Times New Roman" w:cs="Times New Roman"/>
        </w:rPr>
      </w:pPr>
    </w:p>
    <w:p w14:paraId="7B8D8F2C" w14:textId="77777777" w:rsidR="00D91945" w:rsidRPr="00156822" w:rsidRDefault="00D91945" w:rsidP="00156822">
      <w:pPr>
        <w:pStyle w:val="ListParagraph"/>
        <w:numPr>
          <w:ilvl w:val="0"/>
          <w:numId w:val="40"/>
        </w:numPr>
        <w:rPr>
          <w:rFonts w:ascii="Times New Roman" w:hAnsi="Times New Roman" w:cs="Times New Roman"/>
        </w:rPr>
      </w:pPr>
      <w:r w:rsidRPr="00156822">
        <w:rPr>
          <w:rFonts w:ascii="Times New Roman" w:hAnsi="Times New Roman" w:cs="Times New Roman"/>
        </w:rPr>
        <w:t>Come up with five open-ended questions to ask an interviewee, on topics related to your class?</w:t>
      </w:r>
    </w:p>
    <w:p w14:paraId="00BA8EB6" w14:textId="77777777" w:rsidR="00D91945" w:rsidRPr="00156822" w:rsidRDefault="00D91945" w:rsidP="00156822">
      <w:pPr>
        <w:pStyle w:val="ListParagraph"/>
        <w:rPr>
          <w:rFonts w:ascii="Times New Roman" w:hAnsi="Times New Roman" w:cs="Times New Roman"/>
        </w:rPr>
      </w:pPr>
    </w:p>
    <w:p w14:paraId="10019C2F" w14:textId="77777777" w:rsidR="00D91945" w:rsidRPr="00156822" w:rsidRDefault="00D91945" w:rsidP="00156822">
      <w:pPr>
        <w:rPr>
          <w:rFonts w:ascii="Times New Roman" w:hAnsi="Times New Roman" w:cs="Times New Roman"/>
        </w:rPr>
      </w:pPr>
    </w:p>
    <w:p w14:paraId="28D1762B" w14:textId="77777777" w:rsidR="00D91945" w:rsidRPr="00156822" w:rsidRDefault="00D91945" w:rsidP="00156822">
      <w:pPr>
        <w:pStyle w:val="Heading2"/>
        <w:spacing w:before="0"/>
        <w:rPr>
          <w:rFonts w:ascii="Times New Roman" w:hAnsi="Times New Roman" w:cs="Times New Roman"/>
          <w:color w:val="auto"/>
          <w:sz w:val="24"/>
          <w:szCs w:val="24"/>
        </w:rPr>
      </w:pPr>
      <w:r w:rsidRPr="00156822">
        <w:rPr>
          <w:rFonts w:ascii="Times New Roman" w:hAnsi="Times New Roman" w:cs="Times New Roman"/>
          <w:color w:val="auto"/>
          <w:sz w:val="24"/>
          <w:szCs w:val="24"/>
        </w:rPr>
        <w:t>Key Terms</w:t>
      </w:r>
    </w:p>
    <w:p w14:paraId="06AF0C5B" w14:textId="77777777" w:rsidR="00D91945" w:rsidRPr="00156822" w:rsidRDefault="00D91945" w:rsidP="00156822">
      <w:pPr>
        <w:pStyle w:val="ListParagraph"/>
        <w:ind w:left="1440"/>
        <w:rPr>
          <w:rFonts w:ascii="Times New Roman" w:hAnsi="Times New Roman" w:cs="Times New Roman"/>
        </w:rPr>
      </w:pPr>
    </w:p>
    <w:p w14:paraId="0479A7C9"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Qualitative Interviews</w:t>
      </w:r>
    </w:p>
    <w:p w14:paraId="4A268600"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Informal Interviews</w:t>
      </w:r>
    </w:p>
    <w:p w14:paraId="42EF8421"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Formal Interviews.</w:t>
      </w:r>
    </w:p>
    <w:p w14:paraId="79ACCB23"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Interview Guide/Schedule/Frame</w:t>
      </w:r>
    </w:p>
    <w:p w14:paraId="74FA0628"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Semi-Structured Interviews</w:t>
      </w:r>
    </w:p>
    <w:p w14:paraId="36CB23E5"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Unstructured Interviews</w:t>
      </w:r>
    </w:p>
    <w:p w14:paraId="2A2CC94E"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Active Listener</w:t>
      </w:r>
    </w:p>
    <w:p w14:paraId="13338942"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Open-Ended Questions</w:t>
      </w:r>
    </w:p>
    <w:p w14:paraId="3B256D3D"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Ideal Culture</w:t>
      </w:r>
    </w:p>
    <w:p w14:paraId="25DC82D8"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Real Culture</w:t>
      </w:r>
    </w:p>
    <w:p w14:paraId="17946F77"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Informed Consent Forms</w:t>
      </w:r>
    </w:p>
    <w:p w14:paraId="3484D749"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Transcribing</w:t>
      </w:r>
    </w:p>
    <w:p w14:paraId="6743E80E" w14:textId="77777777" w:rsidR="00D91945" w:rsidRPr="00156822" w:rsidRDefault="00D91945" w:rsidP="00156822">
      <w:pPr>
        <w:pStyle w:val="ListParagraph"/>
        <w:numPr>
          <w:ilvl w:val="1"/>
          <w:numId w:val="39"/>
        </w:numPr>
        <w:rPr>
          <w:rFonts w:ascii="Times New Roman" w:hAnsi="Times New Roman" w:cs="Times New Roman"/>
        </w:rPr>
      </w:pPr>
      <w:r w:rsidRPr="00156822">
        <w:rPr>
          <w:rFonts w:ascii="Times New Roman" w:hAnsi="Times New Roman" w:cs="Times New Roman"/>
        </w:rPr>
        <w:t>Code</w:t>
      </w:r>
    </w:p>
    <w:p w14:paraId="332A4770" w14:textId="77777777" w:rsidR="00D91945" w:rsidRPr="00156822" w:rsidRDefault="00D91945" w:rsidP="00156822">
      <w:pPr>
        <w:pStyle w:val="ListParagraph"/>
        <w:ind w:left="1440"/>
        <w:rPr>
          <w:rFonts w:ascii="Times New Roman" w:hAnsi="Times New Roman" w:cs="Times New Roman"/>
        </w:rPr>
      </w:pPr>
    </w:p>
    <w:p w14:paraId="7803722B" w14:textId="77777777" w:rsidR="00D91945" w:rsidRPr="00156822" w:rsidRDefault="00D91945" w:rsidP="00156822">
      <w:pPr>
        <w:pStyle w:val="Heading2"/>
        <w:spacing w:before="0"/>
        <w:rPr>
          <w:rFonts w:ascii="Times New Roman" w:hAnsi="Times New Roman" w:cs="Times New Roman"/>
          <w:color w:val="auto"/>
          <w:sz w:val="24"/>
          <w:szCs w:val="24"/>
        </w:rPr>
      </w:pPr>
      <w:r w:rsidRPr="00156822">
        <w:rPr>
          <w:rFonts w:ascii="Times New Roman" w:hAnsi="Times New Roman" w:cs="Times New Roman"/>
          <w:color w:val="auto"/>
          <w:sz w:val="24"/>
          <w:szCs w:val="24"/>
        </w:rPr>
        <w:t>References</w:t>
      </w:r>
    </w:p>
    <w:p w14:paraId="373FDDB3" w14:textId="77777777" w:rsidR="00D91945" w:rsidRPr="00156822" w:rsidRDefault="00D91945" w:rsidP="00156822">
      <w:pPr>
        <w:rPr>
          <w:rFonts w:ascii="Times New Roman" w:hAnsi="Times New Roman" w:cs="Times New Roman"/>
        </w:rPr>
      </w:pPr>
    </w:p>
    <w:p w14:paraId="2828DC18" w14:textId="77777777" w:rsidR="00D91945" w:rsidRPr="00156822" w:rsidRDefault="00D91945" w:rsidP="00156822">
      <w:pPr>
        <w:rPr>
          <w:rFonts w:ascii="Times New Roman" w:eastAsia="Times New Roman" w:hAnsi="Times New Roman" w:cs="Times New Roman"/>
        </w:rPr>
      </w:pPr>
      <w:proofErr w:type="spellStart"/>
      <w:r w:rsidRPr="00156822">
        <w:rPr>
          <w:rFonts w:ascii="Times New Roman" w:eastAsia="Times New Roman" w:hAnsi="Times New Roman" w:cs="Times New Roman"/>
        </w:rPr>
        <w:t>Esterberg</w:t>
      </w:r>
      <w:proofErr w:type="spellEnd"/>
      <w:r w:rsidRPr="00156822">
        <w:rPr>
          <w:rFonts w:ascii="Times New Roman" w:eastAsia="Times New Roman" w:hAnsi="Times New Roman" w:cs="Times New Roman"/>
        </w:rPr>
        <w:t xml:space="preserve">, K. G. (2002). </w:t>
      </w:r>
      <w:r w:rsidRPr="00156822">
        <w:rPr>
          <w:rFonts w:ascii="Times New Roman" w:eastAsia="Times New Roman" w:hAnsi="Times New Roman" w:cs="Times New Roman"/>
          <w:i/>
        </w:rPr>
        <w:t>Qualitative Methods in Social Research</w:t>
      </w:r>
      <w:r w:rsidRPr="00156822">
        <w:rPr>
          <w:rFonts w:ascii="Times New Roman" w:eastAsia="Times New Roman" w:hAnsi="Times New Roman" w:cs="Times New Roman"/>
        </w:rPr>
        <w:t>. Boston, MA: McGraw-Hill.</w:t>
      </w:r>
    </w:p>
    <w:p w14:paraId="429043CF" w14:textId="77777777" w:rsidR="00D91945" w:rsidRPr="00156822" w:rsidRDefault="00D91945" w:rsidP="00156822">
      <w:pPr>
        <w:rPr>
          <w:rFonts w:ascii="Times New Roman" w:eastAsia="Times New Roman" w:hAnsi="Times New Roman" w:cs="Times New Roman"/>
        </w:rPr>
      </w:pPr>
    </w:p>
    <w:p w14:paraId="338633CB"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 xml:space="preserve">Fine, M. (2018). </w:t>
      </w:r>
      <w:r w:rsidRPr="00156822">
        <w:rPr>
          <w:rFonts w:ascii="Times New Roman" w:hAnsi="Times New Roman" w:cs="Times New Roman"/>
          <w:i/>
        </w:rPr>
        <w:t>Just Research in Contentious Times</w:t>
      </w:r>
      <w:r w:rsidRPr="00156822">
        <w:rPr>
          <w:rFonts w:ascii="Times New Roman" w:hAnsi="Times New Roman" w:cs="Times New Roman"/>
        </w:rPr>
        <w:t>.  New York, NY: Teachers College Press.</w:t>
      </w:r>
    </w:p>
    <w:p w14:paraId="3E7DB32F" w14:textId="77777777" w:rsidR="00D91945" w:rsidRPr="00156822" w:rsidRDefault="00D91945" w:rsidP="00156822">
      <w:pPr>
        <w:rPr>
          <w:rFonts w:ascii="Times New Roman" w:hAnsi="Times New Roman" w:cs="Times New Roman"/>
        </w:rPr>
      </w:pPr>
    </w:p>
    <w:p w14:paraId="774FF401"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 xml:space="preserve">Griffiths, Heather, Nathan </w:t>
      </w:r>
      <w:proofErr w:type="spellStart"/>
      <w:r w:rsidRPr="00156822">
        <w:rPr>
          <w:rFonts w:ascii="Times New Roman" w:hAnsi="Times New Roman" w:cs="Times New Roman"/>
        </w:rPr>
        <w:t>Keirns</w:t>
      </w:r>
      <w:proofErr w:type="spellEnd"/>
      <w:r w:rsidRPr="00156822">
        <w:rPr>
          <w:rFonts w:ascii="Times New Roman" w:hAnsi="Times New Roman" w:cs="Times New Roman"/>
        </w:rPr>
        <w:t>, Eric Strayer, Susan Cody-</w:t>
      </w:r>
      <w:proofErr w:type="spellStart"/>
      <w:r w:rsidRPr="00156822">
        <w:rPr>
          <w:rFonts w:ascii="Times New Roman" w:hAnsi="Times New Roman" w:cs="Times New Roman"/>
        </w:rPr>
        <w:t>Rydzewski</w:t>
      </w:r>
      <w:proofErr w:type="spellEnd"/>
      <w:r w:rsidRPr="00156822">
        <w:rPr>
          <w:rFonts w:ascii="Times New Roman" w:hAnsi="Times New Roman" w:cs="Times New Roman"/>
        </w:rPr>
        <w:t xml:space="preserve">, Gail </w:t>
      </w:r>
      <w:proofErr w:type="spellStart"/>
      <w:r w:rsidRPr="00156822">
        <w:rPr>
          <w:rFonts w:ascii="Times New Roman" w:hAnsi="Times New Roman" w:cs="Times New Roman"/>
        </w:rPr>
        <w:t>Scaramuzzo</w:t>
      </w:r>
      <w:proofErr w:type="spellEnd"/>
      <w:r w:rsidRPr="00156822">
        <w:rPr>
          <w:rFonts w:ascii="Times New Roman" w:hAnsi="Times New Roman" w:cs="Times New Roman"/>
        </w:rPr>
        <w:t xml:space="preserve">, Sally </w:t>
      </w:r>
      <w:proofErr w:type="spellStart"/>
      <w:r w:rsidRPr="00156822">
        <w:rPr>
          <w:rFonts w:ascii="Times New Roman" w:hAnsi="Times New Roman" w:cs="Times New Roman"/>
        </w:rPr>
        <w:t>Vyain</w:t>
      </w:r>
      <w:proofErr w:type="spellEnd"/>
      <w:r w:rsidRPr="00156822">
        <w:rPr>
          <w:rFonts w:ascii="Times New Roman" w:hAnsi="Times New Roman" w:cs="Times New Roman"/>
        </w:rPr>
        <w:t xml:space="preserve">, Tommy Sadler, Jeff D. </w:t>
      </w:r>
      <w:proofErr w:type="spellStart"/>
      <w:r w:rsidRPr="00156822">
        <w:rPr>
          <w:rFonts w:ascii="Times New Roman" w:hAnsi="Times New Roman" w:cs="Times New Roman"/>
        </w:rPr>
        <w:t>Bry</w:t>
      </w:r>
      <w:proofErr w:type="spellEnd"/>
      <w:r w:rsidRPr="00156822">
        <w:rPr>
          <w:rFonts w:ascii="Times New Roman" w:hAnsi="Times New Roman" w:cs="Times New Roman"/>
        </w:rPr>
        <w:t xml:space="preserve">, and Faye Jones (2017). </w:t>
      </w:r>
      <w:r w:rsidRPr="00156822">
        <w:rPr>
          <w:rFonts w:ascii="Times New Roman" w:hAnsi="Times New Roman" w:cs="Times New Roman"/>
          <w:i/>
        </w:rPr>
        <w:t>Introduction to Sociology 2e</w:t>
      </w:r>
      <w:r w:rsidRPr="00156822">
        <w:rPr>
          <w:rFonts w:ascii="Times New Roman" w:hAnsi="Times New Roman" w:cs="Times New Roman"/>
        </w:rPr>
        <w:t>. Suwanee, GA: 12</w:t>
      </w:r>
      <w:r w:rsidRPr="00156822">
        <w:rPr>
          <w:rFonts w:ascii="Times New Roman" w:hAnsi="Times New Roman" w:cs="Times New Roman"/>
          <w:vertAlign w:val="superscript"/>
        </w:rPr>
        <w:t>th</w:t>
      </w:r>
      <w:r w:rsidRPr="00156822">
        <w:rPr>
          <w:rFonts w:ascii="Times New Roman" w:hAnsi="Times New Roman" w:cs="Times New Roman"/>
        </w:rPr>
        <w:t xml:space="preserve"> Media Services. </w:t>
      </w:r>
    </w:p>
    <w:p w14:paraId="5150B3B6" w14:textId="77777777" w:rsidR="00D91945" w:rsidRPr="00156822" w:rsidRDefault="00D91945" w:rsidP="00156822">
      <w:pPr>
        <w:rPr>
          <w:rFonts w:ascii="Times New Roman" w:hAnsi="Times New Roman" w:cs="Times New Roman"/>
        </w:rPr>
      </w:pPr>
    </w:p>
    <w:p w14:paraId="200B35F2" w14:textId="77777777" w:rsidR="00D91945" w:rsidRPr="00156822" w:rsidRDefault="00D91945" w:rsidP="00156822">
      <w:pPr>
        <w:rPr>
          <w:rFonts w:ascii="Times New Roman" w:eastAsia="Times New Roman" w:hAnsi="Times New Roman" w:cs="Times New Roman"/>
        </w:rPr>
      </w:pPr>
      <w:r w:rsidRPr="00156822">
        <w:rPr>
          <w:rFonts w:ascii="Times New Roman" w:hAnsi="Times New Roman" w:cs="Times New Roman"/>
        </w:rPr>
        <w:t xml:space="preserve">Murchison, </w:t>
      </w:r>
      <w:r w:rsidRPr="00156822">
        <w:rPr>
          <w:rFonts w:ascii="Times New Roman" w:eastAsia="Times New Roman" w:hAnsi="Times New Roman" w:cs="Times New Roman"/>
        </w:rPr>
        <w:t xml:space="preserve">Julian M (2010). </w:t>
      </w:r>
      <w:r w:rsidRPr="00156822">
        <w:rPr>
          <w:rFonts w:ascii="Times New Roman" w:eastAsia="Times New Roman" w:hAnsi="Times New Roman" w:cs="Times New Roman"/>
          <w:i/>
        </w:rPr>
        <w:t>Ethnography Essentials: Designing, Conducting and Presenting Your Research</w:t>
      </w:r>
      <w:r w:rsidRPr="00156822">
        <w:rPr>
          <w:rFonts w:ascii="Times New Roman" w:eastAsia="Times New Roman" w:hAnsi="Times New Roman" w:cs="Times New Roman"/>
        </w:rPr>
        <w:t>. San Francisco, CA: John Wiley and Sons.</w:t>
      </w:r>
    </w:p>
    <w:p w14:paraId="69213CCF" w14:textId="77777777" w:rsidR="00D91945" w:rsidRPr="00156822" w:rsidRDefault="00D91945" w:rsidP="00156822">
      <w:pPr>
        <w:rPr>
          <w:rFonts w:ascii="Times New Roman" w:eastAsia="Times New Roman" w:hAnsi="Times New Roman" w:cs="Times New Roman"/>
        </w:rPr>
      </w:pPr>
    </w:p>
    <w:p w14:paraId="3B26BE5F" w14:textId="77777777" w:rsidR="00D91945" w:rsidRPr="00156822" w:rsidRDefault="00D91945" w:rsidP="00156822">
      <w:pPr>
        <w:rPr>
          <w:rFonts w:ascii="Times New Roman" w:eastAsia="Times New Roman" w:hAnsi="Times New Roman" w:cs="Times New Roman"/>
        </w:rPr>
      </w:pPr>
      <w:r w:rsidRPr="00156822">
        <w:rPr>
          <w:rFonts w:ascii="Times New Roman" w:eastAsia="Times New Roman" w:hAnsi="Times New Roman" w:cs="Times New Roman"/>
        </w:rPr>
        <w:t xml:space="preserve">Paris, Django (2011). </w:t>
      </w:r>
      <w:r w:rsidRPr="00156822">
        <w:rPr>
          <w:rFonts w:ascii="Times New Roman" w:eastAsia="Times New Roman" w:hAnsi="Times New Roman" w:cs="Times New Roman"/>
          <w:i/>
          <w:iCs/>
        </w:rPr>
        <w:t>Language across Difference: Ethnicity, Communication, and Youth Identities in Changing Urban Schools</w:t>
      </w:r>
      <w:r w:rsidRPr="00156822">
        <w:rPr>
          <w:rFonts w:ascii="Times New Roman" w:eastAsia="Times New Roman" w:hAnsi="Times New Roman" w:cs="Times New Roman"/>
        </w:rPr>
        <w:t>. Cambridge, UK: Cambridge University Press.</w:t>
      </w:r>
    </w:p>
    <w:p w14:paraId="58620EF0" w14:textId="77777777" w:rsidR="00D91945" w:rsidRPr="00156822" w:rsidRDefault="00D91945" w:rsidP="00156822">
      <w:pPr>
        <w:rPr>
          <w:rFonts w:ascii="Times New Roman" w:hAnsi="Times New Roman" w:cs="Times New Roman"/>
        </w:rPr>
      </w:pPr>
    </w:p>
    <w:p w14:paraId="44E3F184"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 xml:space="preserve">Amy Blackstone (2012), </w:t>
      </w:r>
      <w:r w:rsidRPr="00156822">
        <w:rPr>
          <w:rFonts w:ascii="Times New Roman" w:hAnsi="Times New Roman" w:cs="Times New Roman"/>
          <w:i/>
        </w:rPr>
        <w:t xml:space="preserve">Principles of Sociological Inquiry: Qualitative and Quantitative Methods. </w:t>
      </w:r>
      <w:r w:rsidRPr="00156822">
        <w:rPr>
          <w:rFonts w:ascii="Times New Roman" w:hAnsi="Times New Roman" w:cs="Times New Roman"/>
        </w:rPr>
        <w:t>Saylor.org.</w:t>
      </w:r>
    </w:p>
    <w:p w14:paraId="4672D41D" w14:textId="0DED02CA" w:rsidR="00D91945" w:rsidRPr="00156822" w:rsidRDefault="00D91945" w:rsidP="00156822">
      <w:pPr>
        <w:rPr>
          <w:rFonts w:ascii="Times New Roman" w:hAnsi="Times New Roman" w:cs="Times New Roman"/>
        </w:rPr>
      </w:pPr>
      <w:r w:rsidRPr="00156822">
        <w:rPr>
          <w:rFonts w:ascii="Times New Roman" w:hAnsi="Times New Roman" w:cs="Times New Roman"/>
        </w:rPr>
        <w:br w:type="page"/>
      </w:r>
    </w:p>
    <w:p w14:paraId="44A73F77" w14:textId="77777777" w:rsidR="00D91945" w:rsidRPr="00D93C05" w:rsidRDefault="00D91945" w:rsidP="00D91945">
      <w:pPr>
        <w:pStyle w:val="Heading1"/>
        <w:spacing w:before="0"/>
        <w:jc w:val="center"/>
        <w:rPr>
          <w:rFonts w:ascii="Times New Roman" w:hAnsi="Times New Roman" w:cs="Times New Roman"/>
          <w:sz w:val="24"/>
          <w:szCs w:val="24"/>
        </w:rPr>
      </w:pPr>
      <w:r w:rsidRPr="00D93C05">
        <w:rPr>
          <w:rFonts w:ascii="Times New Roman" w:hAnsi="Times New Roman" w:cs="Times New Roman"/>
          <w:sz w:val="24"/>
          <w:szCs w:val="24"/>
        </w:rPr>
        <w:lastRenderedPageBreak/>
        <w:t>Coding Qualitative Data</w:t>
      </w:r>
    </w:p>
    <w:p w14:paraId="5F3A8867" w14:textId="77777777" w:rsidR="00D91945" w:rsidRDefault="00D91945" w:rsidP="00D91945">
      <w:pPr>
        <w:pStyle w:val="Heading1"/>
        <w:spacing w:before="0"/>
        <w:jc w:val="center"/>
        <w:rPr>
          <w:rFonts w:ascii="Times New Roman" w:hAnsi="Times New Roman" w:cs="Times New Roman"/>
          <w:sz w:val="24"/>
          <w:szCs w:val="24"/>
        </w:rPr>
      </w:pPr>
      <w:r w:rsidRPr="00D93C05">
        <w:rPr>
          <w:rFonts w:ascii="Times New Roman" w:hAnsi="Times New Roman" w:cs="Times New Roman"/>
          <w:sz w:val="24"/>
          <w:szCs w:val="24"/>
        </w:rPr>
        <w:t>Camila Torres Rivera</w:t>
      </w:r>
    </w:p>
    <w:p w14:paraId="638FBEE4" w14:textId="77777777" w:rsidR="00D91945" w:rsidRPr="00D93C05" w:rsidRDefault="00D91945" w:rsidP="00D91945"/>
    <w:p w14:paraId="1C9B2B1D" w14:textId="77777777" w:rsidR="00D91945" w:rsidRPr="00D93C05" w:rsidRDefault="00D91945" w:rsidP="00D91945">
      <w:pPr>
        <w:pStyle w:val="Heading2"/>
        <w:spacing w:before="0"/>
        <w:rPr>
          <w:rFonts w:ascii="Times New Roman" w:hAnsi="Times New Roman" w:cs="Times New Roman"/>
          <w:sz w:val="24"/>
          <w:szCs w:val="24"/>
        </w:rPr>
      </w:pPr>
      <w:bookmarkStart w:id="8" w:name="_5gsr6wnkv32k" w:colFirst="0" w:colLast="0"/>
      <w:bookmarkStart w:id="9" w:name="_1zuwmdiv6xty" w:colFirst="0" w:colLast="0"/>
      <w:bookmarkEnd w:id="8"/>
      <w:bookmarkEnd w:id="9"/>
      <w:r w:rsidRPr="00D93C05">
        <w:rPr>
          <w:rFonts w:ascii="Times New Roman" w:hAnsi="Times New Roman" w:cs="Times New Roman"/>
          <w:sz w:val="24"/>
          <w:szCs w:val="24"/>
        </w:rPr>
        <w:t xml:space="preserve">You’ve gathered all your data carefully so …now what? </w:t>
      </w:r>
    </w:p>
    <w:p w14:paraId="07D1BBCC"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Qualitative researchers often ask the same question at this point in the process...now what? It can be daunting to look over your massive collection of interviews, field notes, and transcripts and not know how to begin to use it to answer your research question.  While you have </w:t>
      </w:r>
      <w:proofErr w:type="spellStart"/>
      <w:r w:rsidRPr="00D93C05">
        <w:rPr>
          <w:rFonts w:ascii="Times New Roman" w:eastAsia="Times New Roman" w:hAnsi="Times New Roman" w:cs="Times New Roman"/>
        </w:rPr>
        <w:t>have</w:t>
      </w:r>
      <w:proofErr w:type="spellEnd"/>
      <w:r w:rsidRPr="00D93C05">
        <w:rPr>
          <w:rFonts w:ascii="Times New Roman" w:eastAsia="Times New Roman" w:hAnsi="Times New Roman" w:cs="Times New Roman"/>
        </w:rPr>
        <w:t xml:space="preserve"> gathered important information, the connections of this information to your research question may not be completely clear. Organizing the raw data in a way that makes sense to you will require you to read and re-read your raw data carefully and patiently. While there are various ways to prepare data for analysis, this chapter will focus on a commonly used method called coding.  </w:t>
      </w:r>
    </w:p>
    <w:p w14:paraId="141E46CC" w14:textId="77777777" w:rsidR="00D91945" w:rsidRPr="00D93C05" w:rsidRDefault="00D91945" w:rsidP="00D91945">
      <w:pPr>
        <w:pStyle w:val="Heading2"/>
        <w:spacing w:before="0"/>
        <w:rPr>
          <w:rFonts w:ascii="Times New Roman" w:hAnsi="Times New Roman" w:cs="Times New Roman"/>
          <w:sz w:val="24"/>
          <w:szCs w:val="24"/>
        </w:rPr>
      </w:pPr>
      <w:bookmarkStart w:id="10" w:name="_rsg5906k7ahc" w:colFirst="0" w:colLast="0"/>
      <w:bookmarkEnd w:id="10"/>
    </w:p>
    <w:p w14:paraId="688EB0BC" w14:textId="77777777" w:rsidR="00D91945" w:rsidRPr="00D93C05" w:rsidRDefault="00D91945" w:rsidP="00D91945">
      <w:pPr>
        <w:pStyle w:val="Heading2"/>
        <w:spacing w:before="0"/>
        <w:rPr>
          <w:rFonts w:ascii="Times New Roman" w:hAnsi="Times New Roman" w:cs="Times New Roman"/>
          <w:sz w:val="24"/>
          <w:szCs w:val="24"/>
        </w:rPr>
      </w:pPr>
      <w:r w:rsidRPr="00D93C05">
        <w:rPr>
          <w:rFonts w:ascii="Times New Roman" w:hAnsi="Times New Roman" w:cs="Times New Roman"/>
          <w:sz w:val="24"/>
          <w:szCs w:val="24"/>
        </w:rPr>
        <w:t xml:space="preserve">What are codes? </w:t>
      </w:r>
    </w:p>
    <w:p w14:paraId="451F1814" w14:textId="77777777" w:rsidR="00D91945" w:rsidRPr="00D93C05" w:rsidRDefault="00D91945" w:rsidP="00D91945">
      <w:pPr>
        <w:rPr>
          <w:rFonts w:ascii="Times New Roman" w:eastAsia="Times New Roman" w:hAnsi="Times New Roman" w:cs="Times New Roman"/>
        </w:rPr>
      </w:pPr>
      <w:r w:rsidRPr="00D93C05">
        <w:rPr>
          <w:rFonts w:ascii="Times New Roman" w:eastAsia="Times New Roman" w:hAnsi="Times New Roman" w:cs="Times New Roman"/>
        </w:rPr>
        <w:t xml:space="preserve"> </w:t>
      </w:r>
      <w:r w:rsidRPr="00D93C05">
        <w:rPr>
          <w:rFonts w:ascii="Times New Roman" w:eastAsia="Times New Roman" w:hAnsi="Times New Roman" w:cs="Times New Roman"/>
        </w:rPr>
        <w:tab/>
        <w:t xml:space="preserve">A </w:t>
      </w:r>
      <w:r w:rsidRPr="00D93C05">
        <w:rPr>
          <w:rFonts w:ascii="Times New Roman" w:eastAsia="Times New Roman" w:hAnsi="Times New Roman" w:cs="Times New Roman"/>
          <w:b/>
          <w:bCs/>
        </w:rPr>
        <w:t xml:space="preserve">code </w:t>
      </w:r>
      <w:r w:rsidRPr="00D93C05">
        <w:rPr>
          <w:rFonts w:ascii="Times New Roman" w:eastAsia="Times New Roman" w:hAnsi="Times New Roman" w:cs="Times New Roman"/>
        </w:rPr>
        <w:t>is a word or short phrase that assigns an attribute (e.g. translation, feeling, category, summary, idea) to a section of text (</w:t>
      </w:r>
      <w:proofErr w:type="spellStart"/>
      <w:r w:rsidRPr="00D93C05">
        <w:rPr>
          <w:rFonts w:ascii="Times New Roman" w:eastAsia="Times New Roman" w:hAnsi="Times New Roman" w:cs="Times New Roman"/>
          <w:color w:val="222222"/>
          <w:highlight w:val="white"/>
        </w:rPr>
        <w:t>Saldaña</w:t>
      </w:r>
      <w:proofErr w:type="spellEnd"/>
      <w:r w:rsidRPr="00D93C05">
        <w:rPr>
          <w:rFonts w:ascii="Times New Roman" w:eastAsia="Times New Roman" w:hAnsi="Times New Roman" w:cs="Times New Roman"/>
        </w:rPr>
        <w:t xml:space="preserve">, 2015).  </w:t>
      </w:r>
      <w:r w:rsidRPr="00D93C05">
        <w:rPr>
          <w:rFonts w:ascii="Times New Roman" w:eastAsia="Times New Roman" w:hAnsi="Times New Roman" w:cs="Times New Roman"/>
          <w:b/>
          <w:bCs/>
        </w:rPr>
        <w:t>Coding</w:t>
      </w:r>
      <w:r w:rsidRPr="00D93C05">
        <w:rPr>
          <w:rFonts w:ascii="Times New Roman" w:eastAsia="Times New Roman" w:hAnsi="Times New Roman" w:cs="Times New Roman"/>
        </w:rPr>
        <w:t xml:space="preserve"> is the act of assigning a code to a section of raw data text for interpretive purposes to gain meaning (Charmaz &amp; Mitchell, 2001). The purpose of coding is to filter and organize the raw data so it will be easier to detect patterns or sequences, to identify themes, and to build theories to answer the research question (Bogdan &amp; Biklen, 1997). </w:t>
      </w:r>
    </w:p>
    <w:p w14:paraId="54EB93CD"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Let’s look at a simple coding example for a portion of an interview conducted to learn the value of the open-access music site called </w:t>
      </w:r>
      <w:r w:rsidRPr="00D93C05">
        <w:rPr>
          <w:rFonts w:ascii="Times New Roman" w:eastAsia="Times New Roman" w:hAnsi="Times New Roman" w:cs="Times New Roman"/>
          <w:i/>
        </w:rPr>
        <w:t>SoundCloud</w:t>
      </w:r>
      <w:r w:rsidRPr="00D93C05">
        <w:rPr>
          <w:rFonts w:ascii="Times New Roman" w:eastAsia="Times New Roman" w:hAnsi="Times New Roman" w:cs="Times New Roman"/>
        </w:rPr>
        <w:t xml:space="preserve">. The interview, organized in a table format below, has two key features - the columns and the rows. The right column has the transcript of the interview; the left column has codes aligned with the related text.  When you read, you should read across the entire row (i.e. the question and the question codes together) and then read the next row the same way (i.e. the answer and the answer codes together).  </w:t>
      </w:r>
    </w:p>
    <w:p w14:paraId="6C9205D3" w14:textId="77777777" w:rsidR="00D91945" w:rsidRPr="00D93C05" w:rsidRDefault="00D91945" w:rsidP="00D91945">
      <w:pPr>
        <w:rPr>
          <w:rFonts w:ascii="Times New Roman" w:eastAsia="Times New Roman" w:hAnsi="Times New Roman" w:cs="Times New Roman"/>
        </w:rPr>
      </w:pPr>
    </w:p>
    <w:tbl>
      <w:tblPr>
        <w:tblW w:w="9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40"/>
        <w:gridCol w:w="2330"/>
      </w:tblGrid>
      <w:tr w:rsidR="00D91945" w:rsidRPr="00D93C05" w14:paraId="6388CBE5" w14:textId="77777777" w:rsidTr="00D91945">
        <w:tc>
          <w:tcPr>
            <w:tcW w:w="6840" w:type="dxa"/>
            <w:shd w:val="clear" w:color="auto" w:fill="auto"/>
            <w:tcMar>
              <w:top w:w="100" w:type="dxa"/>
              <w:left w:w="100" w:type="dxa"/>
              <w:bottom w:w="100" w:type="dxa"/>
              <w:right w:w="100" w:type="dxa"/>
            </w:tcMar>
          </w:tcPr>
          <w:p w14:paraId="38F64E23" w14:textId="77777777" w:rsidR="00D91945" w:rsidRPr="00D93C05" w:rsidRDefault="00D91945" w:rsidP="00D91945">
            <w:pPr>
              <w:widowControl w:val="0"/>
              <w:jc w:val="center"/>
              <w:rPr>
                <w:rFonts w:ascii="Times New Roman" w:eastAsia="Times New Roman" w:hAnsi="Times New Roman" w:cs="Times New Roman"/>
                <w:b/>
                <w:bCs/>
              </w:rPr>
            </w:pPr>
            <w:r w:rsidRPr="00D93C05">
              <w:rPr>
                <w:rFonts w:ascii="Times New Roman" w:eastAsia="Times New Roman" w:hAnsi="Times New Roman" w:cs="Times New Roman"/>
                <w:b/>
                <w:bCs/>
              </w:rPr>
              <w:t>Interview Transcript</w:t>
            </w:r>
          </w:p>
        </w:tc>
        <w:tc>
          <w:tcPr>
            <w:tcW w:w="2330" w:type="dxa"/>
            <w:shd w:val="clear" w:color="auto" w:fill="auto"/>
            <w:tcMar>
              <w:top w:w="100" w:type="dxa"/>
              <w:left w:w="100" w:type="dxa"/>
              <w:bottom w:w="100" w:type="dxa"/>
              <w:right w:w="100" w:type="dxa"/>
            </w:tcMar>
          </w:tcPr>
          <w:p w14:paraId="5C207080" w14:textId="77777777" w:rsidR="00D91945" w:rsidRPr="00D93C05" w:rsidRDefault="00D91945" w:rsidP="00D91945">
            <w:pPr>
              <w:widowControl w:val="0"/>
              <w:pBdr>
                <w:top w:val="nil"/>
                <w:left w:val="nil"/>
                <w:bottom w:val="nil"/>
                <w:right w:val="nil"/>
                <w:between w:val="nil"/>
              </w:pBdr>
              <w:jc w:val="center"/>
              <w:rPr>
                <w:rFonts w:ascii="Times New Roman" w:eastAsia="Times New Roman" w:hAnsi="Times New Roman" w:cs="Times New Roman"/>
                <w:b/>
                <w:bCs/>
              </w:rPr>
            </w:pPr>
            <w:r w:rsidRPr="00D93C05">
              <w:rPr>
                <w:rFonts w:ascii="Times New Roman" w:eastAsia="Times New Roman" w:hAnsi="Times New Roman" w:cs="Times New Roman"/>
                <w:b/>
                <w:bCs/>
              </w:rPr>
              <w:t>Codes</w:t>
            </w:r>
          </w:p>
        </w:tc>
      </w:tr>
      <w:tr w:rsidR="00D91945" w:rsidRPr="00D93C05" w14:paraId="05796209" w14:textId="77777777" w:rsidTr="00D91945">
        <w:tc>
          <w:tcPr>
            <w:tcW w:w="6840" w:type="dxa"/>
            <w:shd w:val="clear" w:color="auto" w:fill="auto"/>
            <w:tcMar>
              <w:top w:w="100" w:type="dxa"/>
              <w:left w:w="100" w:type="dxa"/>
              <w:bottom w:w="100" w:type="dxa"/>
              <w:right w:w="100" w:type="dxa"/>
            </w:tcMar>
          </w:tcPr>
          <w:p w14:paraId="1202F187" w14:textId="77777777" w:rsidR="00D91945" w:rsidRPr="00D93C05" w:rsidRDefault="00D91945" w:rsidP="00D91945">
            <w:pPr>
              <w:widowControl w:val="0"/>
              <w:rPr>
                <w:rFonts w:ascii="Times New Roman" w:eastAsia="Times New Roman" w:hAnsi="Times New Roman" w:cs="Times New Roman"/>
              </w:rPr>
            </w:pPr>
            <w:r w:rsidRPr="00D93C05">
              <w:rPr>
                <w:rFonts w:ascii="Times New Roman" w:eastAsia="Times New Roman" w:hAnsi="Times New Roman" w:cs="Times New Roman"/>
              </w:rPr>
              <w:t xml:space="preserve">Question: Let’s start by getting some background on </w:t>
            </w:r>
            <w:r w:rsidRPr="00D93C05">
              <w:rPr>
                <w:rFonts w:ascii="Times New Roman" w:eastAsia="Times New Roman" w:hAnsi="Times New Roman" w:cs="Times New Roman"/>
                <w:i/>
              </w:rPr>
              <w:t>SoundClou</w:t>
            </w:r>
            <w:r w:rsidRPr="00D93C05">
              <w:rPr>
                <w:rFonts w:ascii="Times New Roman" w:eastAsia="Times New Roman" w:hAnsi="Times New Roman" w:cs="Times New Roman"/>
              </w:rPr>
              <w:t>d – when and why did SoundCloud start? What hole was there in the online music distribution field that needed filling?</w:t>
            </w:r>
          </w:p>
        </w:tc>
        <w:tc>
          <w:tcPr>
            <w:tcW w:w="2330" w:type="dxa"/>
            <w:shd w:val="clear" w:color="auto" w:fill="auto"/>
            <w:tcMar>
              <w:top w:w="100" w:type="dxa"/>
              <w:left w:w="100" w:type="dxa"/>
              <w:bottom w:w="100" w:type="dxa"/>
              <w:right w:w="100" w:type="dxa"/>
            </w:tcMar>
          </w:tcPr>
          <w:p w14:paraId="15F879A6"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*purpose</w:t>
            </w:r>
          </w:p>
          <w:p w14:paraId="785F9238"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*audience</w:t>
            </w:r>
          </w:p>
        </w:tc>
      </w:tr>
      <w:tr w:rsidR="00D91945" w:rsidRPr="00D93C05" w14:paraId="040181B3" w14:textId="77777777" w:rsidTr="00D91945">
        <w:tc>
          <w:tcPr>
            <w:tcW w:w="6840" w:type="dxa"/>
            <w:shd w:val="clear" w:color="auto" w:fill="auto"/>
            <w:tcMar>
              <w:top w:w="100" w:type="dxa"/>
              <w:left w:w="100" w:type="dxa"/>
              <w:bottom w:w="100" w:type="dxa"/>
              <w:right w:w="100" w:type="dxa"/>
            </w:tcMar>
          </w:tcPr>
          <w:p w14:paraId="1CB2B822"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Answer: S</w:t>
            </w:r>
            <w:r w:rsidRPr="00D93C05">
              <w:rPr>
                <w:rFonts w:ascii="Times New Roman" w:eastAsia="Times New Roman" w:hAnsi="Times New Roman" w:cs="Times New Roman"/>
                <w:i/>
              </w:rPr>
              <w:t xml:space="preserve">oundCloud </w:t>
            </w:r>
            <w:r w:rsidRPr="00D93C05">
              <w:rPr>
                <w:rFonts w:ascii="Times New Roman" w:eastAsia="Times New Roman" w:hAnsi="Times New Roman" w:cs="Times New Roman"/>
              </w:rPr>
              <w:t xml:space="preserve">was founded in 2007, mostly as a response to the problem of moving around large music files. At the time, the options for sending around audio files, which can be uncompressed and very large, were a combination of e-mailing and large file transmission sites, or clunky FTPs. To make it worse, there weren’t any </w:t>
            </w:r>
            <w:proofErr w:type="gramStart"/>
            <w:r w:rsidRPr="00D93C05">
              <w:rPr>
                <w:rFonts w:ascii="Times New Roman" w:eastAsia="Times New Roman" w:hAnsi="Times New Roman" w:cs="Times New Roman"/>
              </w:rPr>
              <w:t>really elegant</w:t>
            </w:r>
            <w:proofErr w:type="gramEnd"/>
            <w:r w:rsidRPr="00D93C05">
              <w:rPr>
                <w:rFonts w:ascii="Times New Roman" w:eastAsia="Times New Roman" w:hAnsi="Times New Roman" w:cs="Times New Roman"/>
              </w:rPr>
              <w:t xml:space="preserve"> solutions for public distribution either. Musicians have a need to send around audio all the time: privately, like between band members or with producers or A&amp;R guys, and publicly, when trying to give fans access to your tracks. This was the problem </w:t>
            </w:r>
            <w:r w:rsidRPr="00D93C05">
              <w:rPr>
                <w:rFonts w:ascii="Times New Roman" w:eastAsia="Times New Roman" w:hAnsi="Times New Roman" w:cs="Times New Roman"/>
                <w:i/>
              </w:rPr>
              <w:t>SoundCloud</w:t>
            </w:r>
            <w:r w:rsidRPr="00D93C05">
              <w:rPr>
                <w:rFonts w:ascii="Times New Roman" w:eastAsia="Times New Roman" w:hAnsi="Times New Roman" w:cs="Times New Roman"/>
              </w:rPr>
              <w:t xml:space="preserve"> stepped in to solve.</w:t>
            </w:r>
          </w:p>
        </w:tc>
        <w:tc>
          <w:tcPr>
            <w:tcW w:w="2330" w:type="dxa"/>
            <w:shd w:val="clear" w:color="auto" w:fill="auto"/>
            <w:tcMar>
              <w:top w:w="100" w:type="dxa"/>
              <w:left w:w="100" w:type="dxa"/>
              <w:bottom w:w="100" w:type="dxa"/>
              <w:right w:w="100" w:type="dxa"/>
            </w:tcMar>
          </w:tcPr>
          <w:p w14:paraId="0F4EA10F"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*solution</w:t>
            </w:r>
          </w:p>
          <w:p w14:paraId="56857279"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*efficiency</w:t>
            </w:r>
          </w:p>
          <w:p w14:paraId="5885645F"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*accessible</w:t>
            </w:r>
          </w:p>
          <w:p w14:paraId="1068773E"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*streamline process</w:t>
            </w:r>
          </w:p>
          <w:p w14:paraId="12B33A20"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*industry issue</w:t>
            </w:r>
          </w:p>
          <w:p w14:paraId="00C9A4BC"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*accessible</w:t>
            </w:r>
          </w:p>
          <w:p w14:paraId="52C1823C"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*common practice</w:t>
            </w:r>
          </w:p>
          <w:p w14:paraId="64AE0BA4"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*accessible</w:t>
            </w:r>
          </w:p>
        </w:tc>
      </w:tr>
    </w:tbl>
    <w:p w14:paraId="48D971D0" w14:textId="77777777" w:rsidR="00D91945" w:rsidRPr="00D93C05" w:rsidRDefault="00D91945" w:rsidP="00D91945">
      <w:pPr>
        <w:ind w:firstLine="720"/>
        <w:rPr>
          <w:rFonts w:ascii="Times New Roman" w:eastAsia="Times New Roman" w:hAnsi="Times New Roman" w:cs="Times New Roman"/>
        </w:rPr>
      </w:pPr>
    </w:p>
    <w:p w14:paraId="58F024D5"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The eight unique codes in the right column (accessible was used three times) are attributes that are associated with the 135 words of the text. Rather than just reading the 135 </w:t>
      </w:r>
      <w:r w:rsidRPr="00D93C05">
        <w:rPr>
          <w:rFonts w:ascii="Times New Roman" w:eastAsia="Times New Roman" w:hAnsi="Times New Roman" w:cs="Times New Roman"/>
        </w:rPr>
        <w:lastRenderedPageBreak/>
        <w:t xml:space="preserve">words and hoping to remember what we read, assigning codes now gives us the following advantages: </w:t>
      </w:r>
    </w:p>
    <w:p w14:paraId="0FC1EB47" w14:textId="77777777" w:rsidR="00D91945" w:rsidRPr="00D93C05" w:rsidRDefault="00D91945" w:rsidP="00C23CDB">
      <w:pPr>
        <w:numPr>
          <w:ilvl w:val="0"/>
          <w:numId w:val="45"/>
        </w:numPr>
        <w:rPr>
          <w:rFonts w:ascii="Times New Roman" w:eastAsia="Times New Roman" w:hAnsi="Times New Roman" w:cs="Times New Roman"/>
        </w:rPr>
      </w:pPr>
      <w:r w:rsidRPr="00D93C05">
        <w:rPr>
          <w:rFonts w:ascii="Times New Roman" w:eastAsia="Times New Roman" w:hAnsi="Times New Roman" w:cs="Times New Roman"/>
        </w:rPr>
        <w:t xml:space="preserve">The codes left a trail of the thought process during the reading. </w:t>
      </w:r>
    </w:p>
    <w:p w14:paraId="1D6BCBDA" w14:textId="77777777" w:rsidR="00D91945" w:rsidRPr="00D93C05" w:rsidRDefault="00D91945" w:rsidP="00C23CDB">
      <w:pPr>
        <w:numPr>
          <w:ilvl w:val="0"/>
          <w:numId w:val="45"/>
        </w:numPr>
        <w:rPr>
          <w:rFonts w:ascii="Times New Roman" w:eastAsia="Times New Roman" w:hAnsi="Times New Roman" w:cs="Times New Roman"/>
        </w:rPr>
      </w:pPr>
      <w:r w:rsidRPr="00D93C05">
        <w:rPr>
          <w:rFonts w:ascii="Times New Roman" w:eastAsia="Times New Roman" w:hAnsi="Times New Roman" w:cs="Times New Roman"/>
        </w:rPr>
        <w:t>We will be able to find the ideas later</w:t>
      </w:r>
    </w:p>
    <w:p w14:paraId="4B78217E" w14:textId="77777777" w:rsidR="00D91945" w:rsidRPr="00D93C05" w:rsidRDefault="00D91945" w:rsidP="00C23CDB">
      <w:pPr>
        <w:numPr>
          <w:ilvl w:val="0"/>
          <w:numId w:val="45"/>
        </w:numPr>
        <w:rPr>
          <w:rFonts w:ascii="Times New Roman" w:eastAsia="Times New Roman" w:hAnsi="Times New Roman" w:cs="Times New Roman"/>
        </w:rPr>
      </w:pPr>
      <w:r w:rsidRPr="00D93C05">
        <w:rPr>
          <w:rFonts w:ascii="Times New Roman" w:eastAsia="Times New Roman" w:hAnsi="Times New Roman" w:cs="Times New Roman"/>
        </w:rPr>
        <w:t>We will be able to associate related sections of the data to each other</w:t>
      </w:r>
    </w:p>
    <w:p w14:paraId="5AA9BA8F" w14:textId="77777777" w:rsidR="00D91945" w:rsidRPr="00D93C05" w:rsidRDefault="00D91945" w:rsidP="00C23CDB">
      <w:pPr>
        <w:numPr>
          <w:ilvl w:val="0"/>
          <w:numId w:val="45"/>
        </w:numPr>
        <w:rPr>
          <w:rFonts w:ascii="Times New Roman" w:eastAsia="Times New Roman" w:hAnsi="Times New Roman" w:cs="Times New Roman"/>
        </w:rPr>
      </w:pPr>
      <w:r w:rsidRPr="00D93C05">
        <w:rPr>
          <w:rFonts w:ascii="Times New Roman" w:eastAsia="Times New Roman" w:hAnsi="Times New Roman" w:cs="Times New Roman"/>
        </w:rPr>
        <w:t xml:space="preserve">We know how many times the same attribute was </w:t>
      </w:r>
      <w:proofErr w:type="gramStart"/>
      <w:r w:rsidRPr="00D93C05">
        <w:rPr>
          <w:rFonts w:ascii="Times New Roman" w:eastAsia="Times New Roman" w:hAnsi="Times New Roman" w:cs="Times New Roman"/>
        </w:rPr>
        <w:t>used</w:t>
      </w:r>
      <w:proofErr w:type="gramEnd"/>
      <w:r w:rsidRPr="00D93C05">
        <w:rPr>
          <w:rFonts w:ascii="Times New Roman" w:eastAsia="Times New Roman" w:hAnsi="Times New Roman" w:cs="Times New Roman"/>
        </w:rPr>
        <w:t xml:space="preserve"> and which were primary and secondary.</w:t>
      </w:r>
    </w:p>
    <w:p w14:paraId="3C66ED58" w14:textId="77777777" w:rsidR="00D91945" w:rsidRPr="00D93C05" w:rsidRDefault="00D91945" w:rsidP="00D91945">
      <w:pPr>
        <w:ind w:left="1440"/>
        <w:rPr>
          <w:rFonts w:ascii="Times New Roman" w:eastAsia="Times New Roman" w:hAnsi="Times New Roman" w:cs="Times New Roman"/>
        </w:rPr>
      </w:pPr>
    </w:p>
    <w:p w14:paraId="53AC2A4D" w14:textId="77777777" w:rsidR="00D91945" w:rsidRPr="00D93C05" w:rsidRDefault="00D91945" w:rsidP="00D91945">
      <w:pPr>
        <w:pStyle w:val="Heading2"/>
        <w:spacing w:before="0"/>
        <w:rPr>
          <w:rFonts w:ascii="Times New Roman" w:hAnsi="Times New Roman" w:cs="Times New Roman"/>
          <w:sz w:val="24"/>
          <w:szCs w:val="24"/>
        </w:rPr>
      </w:pPr>
      <w:bookmarkStart w:id="11" w:name="_it5xi4ychc9z" w:colFirst="0" w:colLast="0"/>
      <w:bookmarkEnd w:id="11"/>
      <w:r w:rsidRPr="00D93C05">
        <w:rPr>
          <w:rFonts w:ascii="Times New Roman" w:hAnsi="Times New Roman" w:cs="Times New Roman"/>
          <w:sz w:val="24"/>
          <w:szCs w:val="24"/>
        </w:rPr>
        <w:t xml:space="preserve">How do ethnographers prepare for coding? </w:t>
      </w:r>
    </w:p>
    <w:p w14:paraId="0EDFA3F1" w14:textId="77777777" w:rsidR="00D91945" w:rsidRPr="00D93C05" w:rsidRDefault="00D91945" w:rsidP="00D91945">
      <w:pPr>
        <w:rPr>
          <w:rFonts w:ascii="Times New Roman" w:eastAsia="Times New Roman" w:hAnsi="Times New Roman" w:cs="Times New Roman"/>
        </w:rPr>
      </w:pPr>
      <w:r w:rsidRPr="00D93C05">
        <w:rPr>
          <w:rFonts w:ascii="Times New Roman" w:eastAsia="Times New Roman" w:hAnsi="Times New Roman" w:cs="Times New Roman"/>
        </w:rPr>
        <w:tab/>
        <w:t>The purpose of qualitative research is to answer a research question. Therefore, before we begin to work with the raw data, we must be certain that we are also focused on this goal.  Aside from concentrating on the research question, ethnographers should consider other factors in their coding such as their approach to the research, topics, and efficiency. (text box 1 goes here)</w:t>
      </w:r>
    </w:p>
    <w:p w14:paraId="34A11178" w14:textId="77777777" w:rsidR="00D91945" w:rsidRPr="00D93C05" w:rsidRDefault="00D91945" w:rsidP="00D91945">
      <w:pPr>
        <w:rPr>
          <w:rFonts w:ascii="Times New Roman" w:eastAsia="Times New Roman" w:hAnsi="Times New Roman" w:cs="Times New Roman"/>
        </w:rPr>
      </w:pPr>
    </w:p>
    <w:p w14:paraId="2227F5EC" w14:textId="77777777" w:rsidR="00D91945" w:rsidRPr="00D93C05" w:rsidRDefault="00D91945" w:rsidP="00D91945">
      <w:pPr>
        <w:pStyle w:val="Heading3"/>
        <w:spacing w:before="0"/>
        <w:rPr>
          <w:rFonts w:ascii="Times New Roman" w:hAnsi="Times New Roman" w:cs="Times New Roman"/>
        </w:rPr>
      </w:pPr>
      <w:r w:rsidRPr="00D93C05">
        <w:rPr>
          <w:rFonts w:ascii="Times New Roman" w:hAnsi="Times New Roman" w:cs="Times New Roman"/>
        </w:rPr>
        <w:t xml:space="preserve">Research approach: Deductive vs. Inductive. </w:t>
      </w:r>
    </w:p>
    <w:p w14:paraId="72122397" w14:textId="77777777" w:rsidR="00D91945" w:rsidRPr="00D93C05" w:rsidRDefault="00D91945" w:rsidP="00C23CDB">
      <w:pPr>
        <w:numPr>
          <w:ilvl w:val="1"/>
          <w:numId w:val="44"/>
        </w:numPr>
        <w:rPr>
          <w:rFonts w:ascii="Times New Roman" w:eastAsia="Times New Roman" w:hAnsi="Times New Roman" w:cs="Times New Roman"/>
        </w:rPr>
      </w:pPr>
      <w:r w:rsidRPr="00D93C05">
        <w:rPr>
          <w:rFonts w:ascii="Times New Roman" w:eastAsia="Times New Roman" w:hAnsi="Times New Roman" w:cs="Times New Roman"/>
          <w:b/>
          <w:bCs/>
        </w:rPr>
        <w:t>Inductive research</w:t>
      </w:r>
      <w:r w:rsidRPr="00D93C05">
        <w:rPr>
          <w:rFonts w:ascii="Times New Roman" w:eastAsia="Times New Roman" w:hAnsi="Times New Roman" w:cs="Times New Roman"/>
        </w:rPr>
        <w:t xml:space="preserve"> is more commonly used in qualitative studies (</w:t>
      </w:r>
      <w:proofErr w:type="spellStart"/>
      <w:r w:rsidRPr="00D93C05">
        <w:rPr>
          <w:rFonts w:ascii="Times New Roman" w:eastAsia="Times New Roman" w:hAnsi="Times New Roman" w:cs="Times New Roman"/>
        </w:rPr>
        <w:t>Bogden</w:t>
      </w:r>
      <w:proofErr w:type="spellEnd"/>
      <w:r w:rsidRPr="00D93C05">
        <w:rPr>
          <w:rFonts w:ascii="Times New Roman" w:eastAsia="Times New Roman" w:hAnsi="Times New Roman" w:cs="Times New Roman"/>
        </w:rPr>
        <w:t xml:space="preserve"> and Biklen, 1997). The inductive research approach consists of the researcher reading the data and developing theories based on what appears in the raw data rather than any preconceived notions. The researcher will develop codes DURING the reading of the data and connect ideas in their mind through a process called </w:t>
      </w:r>
      <w:r w:rsidRPr="00D93C05">
        <w:rPr>
          <w:rFonts w:ascii="Times New Roman" w:eastAsia="Times New Roman" w:hAnsi="Times New Roman" w:cs="Times New Roman"/>
          <w:b/>
          <w:bCs/>
        </w:rPr>
        <w:t>open coding</w:t>
      </w:r>
      <w:r w:rsidRPr="00D93C05">
        <w:rPr>
          <w:rFonts w:ascii="Times New Roman" w:eastAsia="Times New Roman" w:hAnsi="Times New Roman" w:cs="Times New Roman"/>
        </w:rPr>
        <w:t xml:space="preserve">. </w:t>
      </w:r>
      <w:proofErr w:type="gramStart"/>
      <w:r w:rsidRPr="00D93C05">
        <w:rPr>
          <w:rFonts w:ascii="Times New Roman" w:eastAsia="Times New Roman" w:hAnsi="Times New Roman" w:cs="Times New Roman"/>
        </w:rPr>
        <w:t>Open-coding</w:t>
      </w:r>
      <w:proofErr w:type="gramEnd"/>
      <w:r w:rsidRPr="00D93C05">
        <w:rPr>
          <w:rFonts w:ascii="Times New Roman" w:eastAsia="Times New Roman" w:hAnsi="Times New Roman" w:cs="Times New Roman"/>
        </w:rPr>
        <w:t xml:space="preserve"> is a reactive and iterative process between the data and the researcher. In other words, open-coding documents the researcher’s reactions to data as the researcher continuously interacts with the data. As an example, imagine the researcher is reading a transcript and something they read strikes them as familiar, or unusual, or obvious, the data then causes a natural, spontaneous reaction within the researcher.  In this case, the researcher would create a code to mark that section of text for future reference and/or analysis. </w:t>
      </w:r>
    </w:p>
    <w:p w14:paraId="3CEC5549" w14:textId="77777777" w:rsidR="00D91945" w:rsidRPr="00D93C05" w:rsidRDefault="00D91945" w:rsidP="00C23CDB">
      <w:pPr>
        <w:numPr>
          <w:ilvl w:val="1"/>
          <w:numId w:val="44"/>
        </w:numPr>
        <w:rPr>
          <w:rFonts w:ascii="Times New Roman" w:eastAsia="Times New Roman" w:hAnsi="Times New Roman" w:cs="Times New Roman"/>
        </w:rPr>
      </w:pPr>
      <w:r w:rsidRPr="00D93C05">
        <w:rPr>
          <w:rFonts w:ascii="Times New Roman" w:eastAsia="Times New Roman" w:hAnsi="Times New Roman" w:cs="Times New Roman"/>
        </w:rPr>
        <w:t xml:space="preserve">In some circumstances, a researcher may want to know if certain predetermined ideas exist in the data. Sometimes a researcher will already have some experience with a </w:t>
      </w:r>
      <w:proofErr w:type="gramStart"/>
      <w:r w:rsidRPr="00D93C05">
        <w:rPr>
          <w:rFonts w:ascii="Times New Roman" w:eastAsia="Times New Roman" w:hAnsi="Times New Roman" w:cs="Times New Roman"/>
        </w:rPr>
        <w:t>topic</w:t>
      </w:r>
      <w:proofErr w:type="gramEnd"/>
      <w:r w:rsidRPr="00D93C05">
        <w:rPr>
          <w:rFonts w:ascii="Times New Roman" w:eastAsia="Times New Roman" w:hAnsi="Times New Roman" w:cs="Times New Roman"/>
        </w:rPr>
        <w:t xml:space="preserve"> and they want to further their understanding on this topic. When the researcher wants to use the raw data to prove their ideas or hypothesis, they engage in </w:t>
      </w:r>
      <w:r w:rsidRPr="00D93C05">
        <w:rPr>
          <w:rFonts w:ascii="Times New Roman" w:eastAsia="Times New Roman" w:hAnsi="Times New Roman" w:cs="Times New Roman"/>
          <w:b/>
          <w:bCs/>
        </w:rPr>
        <w:t>deductive research</w:t>
      </w:r>
      <w:r w:rsidRPr="00D93C05">
        <w:rPr>
          <w:rFonts w:ascii="Times New Roman" w:eastAsia="Times New Roman" w:hAnsi="Times New Roman" w:cs="Times New Roman"/>
        </w:rPr>
        <w:t xml:space="preserve">.  The researcher will create a code BEFORE they start the coding process and search the data for examples of the code.  In this case, the predetermined code is referred to as a </w:t>
      </w:r>
      <w:r w:rsidRPr="00D93C05">
        <w:rPr>
          <w:rFonts w:ascii="Times New Roman" w:eastAsia="Times New Roman" w:hAnsi="Times New Roman" w:cs="Times New Roman"/>
          <w:b/>
          <w:bCs/>
        </w:rPr>
        <w:t>priori code</w:t>
      </w:r>
      <w:r w:rsidRPr="00D93C05">
        <w:rPr>
          <w:rFonts w:ascii="Times New Roman" w:eastAsia="Times New Roman" w:hAnsi="Times New Roman" w:cs="Times New Roman"/>
        </w:rPr>
        <w:t xml:space="preserve">. In previous chapters, we discussed how ethical research requires value neutrality. While deductive research and priori codes are not automatically introducing bias into the coding, the researcher should be especially careful that they only code a section of text with a priori code when there is a very clear connection between the priori code and text. Using </w:t>
      </w:r>
      <w:proofErr w:type="gramStart"/>
      <w:r w:rsidRPr="00D93C05">
        <w:rPr>
          <w:rFonts w:ascii="Times New Roman" w:eastAsia="Times New Roman" w:hAnsi="Times New Roman" w:cs="Times New Roman"/>
        </w:rPr>
        <w:t>both of these</w:t>
      </w:r>
      <w:proofErr w:type="gramEnd"/>
      <w:r w:rsidRPr="00D93C05">
        <w:rPr>
          <w:rFonts w:ascii="Times New Roman" w:eastAsia="Times New Roman" w:hAnsi="Times New Roman" w:cs="Times New Roman"/>
        </w:rPr>
        <w:t xml:space="preserve"> methods can help lessen potential biases.</w:t>
      </w:r>
    </w:p>
    <w:p w14:paraId="5190AE0E" w14:textId="77777777" w:rsidR="00D91945" w:rsidRPr="00D93C05" w:rsidRDefault="00D91945" w:rsidP="00D91945">
      <w:pPr>
        <w:pStyle w:val="Heading3"/>
        <w:spacing w:before="0"/>
        <w:rPr>
          <w:rFonts w:ascii="Times New Roman" w:hAnsi="Times New Roman" w:cs="Times New Roman"/>
        </w:rPr>
      </w:pPr>
    </w:p>
    <w:p w14:paraId="36723570" w14:textId="77777777" w:rsidR="00D91945" w:rsidRPr="00D93C05" w:rsidRDefault="00D91945" w:rsidP="00D91945">
      <w:pPr>
        <w:pStyle w:val="Heading3"/>
        <w:spacing w:before="0"/>
        <w:rPr>
          <w:rFonts w:ascii="Times New Roman" w:hAnsi="Times New Roman" w:cs="Times New Roman"/>
        </w:rPr>
      </w:pPr>
      <w:r w:rsidRPr="00D93C05">
        <w:rPr>
          <w:rFonts w:ascii="Times New Roman" w:hAnsi="Times New Roman" w:cs="Times New Roman"/>
        </w:rPr>
        <w:t>Coding Families</w:t>
      </w:r>
    </w:p>
    <w:p w14:paraId="5678E82C" w14:textId="77777777" w:rsidR="00D91945" w:rsidRPr="00D93C05" w:rsidRDefault="00D91945" w:rsidP="00D91945">
      <w:pPr>
        <w:ind w:left="1440"/>
        <w:rPr>
          <w:rFonts w:ascii="Times New Roman" w:eastAsia="Times New Roman" w:hAnsi="Times New Roman" w:cs="Times New Roman"/>
        </w:rPr>
      </w:pPr>
      <w:r w:rsidRPr="00D93C05">
        <w:rPr>
          <w:rFonts w:ascii="Times New Roman" w:eastAsia="Times New Roman" w:hAnsi="Times New Roman" w:cs="Times New Roman"/>
        </w:rPr>
        <w:t xml:space="preserve">Some codes are used so often in qualitative data analysis that it is almost expected that they will be mentioned at some point in the analysis regardless of the subject matter. </w:t>
      </w:r>
      <w:r w:rsidRPr="00D93C05">
        <w:rPr>
          <w:rFonts w:ascii="Times New Roman" w:eastAsia="Times New Roman" w:hAnsi="Times New Roman" w:cs="Times New Roman"/>
          <w:b/>
          <w:bCs/>
        </w:rPr>
        <w:t>Coding families</w:t>
      </w:r>
      <w:r w:rsidRPr="00D93C05">
        <w:rPr>
          <w:rFonts w:ascii="Times New Roman" w:eastAsia="Times New Roman" w:hAnsi="Times New Roman" w:cs="Times New Roman"/>
        </w:rPr>
        <w:t xml:space="preserve"> are not codes - rather, they are categories that suggest different ways in which coding can be </w:t>
      </w:r>
      <w:proofErr w:type="gramStart"/>
      <w:r w:rsidRPr="00D93C05">
        <w:rPr>
          <w:rFonts w:ascii="Times New Roman" w:eastAsia="Times New Roman" w:hAnsi="Times New Roman" w:cs="Times New Roman"/>
        </w:rPr>
        <w:t>accomplished  or</w:t>
      </w:r>
      <w:proofErr w:type="gramEnd"/>
      <w:r w:rsidRPr="00D93C05">
        <w:rPr>
          <w:rFonts w:ascii="Times New Roman" w:eastAsia="Times New Roman" w:hAnsi="Times New Roman" w:cs="Times New Roman"/>
        </w:rPr>
        <w:t xml:space="preserve"> may be necessary (Glaser, 1978; </w:t>
      </w:r>
      <w:proofErr w:type="spellStart"/>
      <w:r w:rsidRPr="00D93C05">
        <w:rPr>
          <w:rFonts w:ascii="Times New Roman" w:eastAsia="Times New Roman" w:hAnsi="Times New Roman" w:cs="Times New Roman"/>
        </w:rPr>
        <w:t>Bogden</w:t>
      </w:r>
      <w:proofErr w:type="spellEnd"/>
      <w:r w:rsidRPr="00D93C05">
        <w:rPr>
          <w:rFonts w:ascii="Times New Roman" w:eastAsia="Times New Roman" w:hAnsi="Times New Roman" w:cs="Times New Roman"/>
        </w:rPr>
        <w:t xml:space="preserve"> &amp; Biklen, 1997). Because coding families describe large, </w:t>
      </w:r>
      <w:r w:rsidRPr="00D93C05">
        <w:rPr>
          <w:rFonts w:ascii="Times New Roman" w:eastAsia="Times New Roman" w:hAnsi="Times New Roman" w:cs="Times New Roman"/>
        </w:rPr>
        <w:lastRenderedPageBreak/>
        <w:t>overarching concepts (i.e. definitions, settings, language structure, etc.), there are usually significant overlaps between coding families.  As always, the selection of a coding family should be determined by how the coding family lends itself to answering the research question.</w:t>
      </w:r>
    </w:p>
    <w:p w14:paraId="776FBBB2" w14:textId="77777777" w:rsidR="00D91945" w:rsidRPr="00D93C05" w:rsidRDefault="00D91945" w:rsidP="00D91945">
      <w:pPr>
        <w:ind w:left="1440"/>
        <w:rPr>
          <w:rFonts w:ascii="Times New Roman" w:eastAsia="Times New Roman" w:hAnsi="Times New Roman" w:cs="Times New Roman"/>
        </w:rPr>
      </w:pPr>
    </w:p>
    <w:p w14:paraId="14808218" w14:textId="77777777" w:rsidR="00D91945" w:rsidRPr="00D93C05" w:rsidRDefault="00D91945" w:rsidP="00D91945">
      <w:pPr>
        <w:ind w:left="1440"/>
        <w:rPr>
          <w:rFonts w:ascii="Times New Roman" w:eastAsia="Times New Roman" w:hAnsi="Times New Roman" w:cs="Times New Roman"/>
        </w:rPr>
      </w:pPr>
      <w:r w:rsidRPr="00D93C05">
        <w:rPr>
          <w:rFonts w:ascii="Times New Roman" w:eastAsia="Times New Roman" w:hAnsi="Times New Roman" w:cs="Times New Roman"/>
        </w:rPr>
        <w:t>Using the same</w:t>
      </w:r>
      <w:r w:rsidRPr="00D93C05">
        <w:rPr>
          <w:rFonts w:ascii="Times New Roman" w:eastAsia="Times New Roman" w:hAnsi="Times New Roman" w:cs="Times New Roman"/>
          <w:i/>
        </w:rPr>
        <w:t xml:space="preserve"> SoundCloud</w:t>
      </w:r>
      <w:r w:rsidRPr="00D93C05">
        <w:rPr>
          <w:rFonts w:ascii="Times New Roman" w:eastAsia="Times New Roman" w:hAnsi="Times New Roman" w:cs="Times New Roman"/>
        </w:rPr>
        <w:t xml:space="preserve"> interview raw data we used in earlier in this chapter, let’s look at how different coding families relate to the same text.  </w:t>
      </w:r>
    </w:p>
    <w:p w14:paraId="210B91E3" w14:textId="77777777" w:rsidR="00D91945" w:rsidRPr="00D93C05" w:rsidRDefault="00D91945" w:rsidP="00D91945">
      <w:pPr>
        <w:rPr>
          <w:rFonts w:ascii="Times New Roman" w:eastAsia="Times New Roman" w:hAnsi="Times New Roman" w:cs="Times New Roman"/>
        </w:rPr>
      </w:pPr>
    </w:p>
    <w:tbl>
      <w:tblPr>
        <w:tblW w:w="9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43"/>
      </w:tblGrid>
      <w:tr w:rsidR="00D91945" w:rsidRPr="00D93C05" w14:paraId="162A5B14" w14:textId="77777777" w:rsidTr="00D91945">
        <w:trPr>
          <w:trHeight w:val="2950"/>
        </w:trPr>
        <w:tc>
          <w:tcPr>
            <w:tcW w:w="9843" w:type="dxa"/>
            <w:shd w:val="clear" w:color="auto" w:fill="auto"/>
            <w:tcMar>
              <w:top w:w="100" w:type="dxa"/>
              <w:left w:w="100" w:type="dxa"/>
              <w:bottom w:w="100" w:type="dxa"/>
              <w:right w:w="100" w:type="dxa"/>
            </w:tcMar>
          </w:tcPr>
          <w:p w14:paraId="53E869A9" w14:textId="77777777" w:rsidR="00D91945" w:rsidRPr="00D93C05" w:rsidRDefault="00D91945" w:rsidP="00D91945">
            <w:pPr>
              <w:widowControl w:val="0"/>
              <w:rPr>
                <w:rFonts w:ascii="Times New Roman" w:eastAsia="Times New Roman" w:hAnsi="Times New Roman" w:cs="Times New Roman"/>
              </w:rPr>
            </w:pPr>
            <w:r w:rsidRPr="00D93C05">
              <w:rPr>
                <w:rFonts w:ascii="Times New Roman" w:eastAsia="Times New Roman" w:hAnsi="Times New Roman" w:cs="Times New Roman"/>
                <w:b/>
                <w:bCs/>
              </w:rPr>
              <w:t>Answer:</w:t>
            </w:r>
            <w:r w:rsidRPr="00D93C05">
              <w:rPr>
                <w:rFonts w:ascii="Times New Roman" w:eastAsia="Times New Roman" w:hAnsi="Times New Roman" w:cs="Times New Roman"/>
              </w:rPr>
              <w:t xml:space="preserve"> </w:t>
            </w:r>
            <w:r w:rsidRPr="00D93C05">
              <w:rPr>
                <w:rFonts w:ascii="Times New Roman" w:eastAsia="Times New Roman" w:hAnsi="Times New Roman" w:cs="Times New Roman"/>
                <w:i/>
              </w:rPr>
              <w:t>SoundCloud</w:t>
            </w:r>
            <w:r w:rsidRPr="00D93C05">
              <w:rPr>
                <w:rFonts w:ascii="Times New Roman" w:eastAsia="Times New Roman" w:hAnsi="Times New Roman" w:cs="Times New Roman"/>
              </w:rPr>
              <w:t xml:space="preserve"> was founded in 2007, mostly as a response to the problem of moving around large music files. At the time, the options for sending around audio files, which can be uncompressed and very large, were a combination of e-mailing and large file transmission sites, or clunky FTPs. To make it worse, there weren’t any </w:t>
            </w:r>
            <w:proofErr w:type="gramStart"/>
            <w:r w:rsidRPr="00D93C05">
              <w:rPr>
                <w:rFonts w:ascii="Times New Roman" w:eastAsia="Times New Roman" w:hAnsi="Times New Roman" w:cs="Times New Roman"/>
              </w:rPr>
              <w:t>really elegant</w:t>
            </w:r>
            <w:proofErr w:type="gramEnd"/>
            <w:r w:rsidRPr="00D93C05">
              <w:rPr>
                <w:rFonts w:ascii="Times New Roman" w:eastAsia="Times New Roman" w:hAnsi="Times New Roman" w:cs="Times New Roman"/>
              </w:rPr>
              <w:t xml:space="preserve"> solutions for public distribution either. Musicians have a need to send around audio all the time: privately, like between band members or with producers or A&amp;R guys, and publicly, when trying to give fans access to your tracks. This was the problem SoundCloud stepped in to solve.</w:t>
            </w:r>
          </w:p>
        </w:tc>
      </w:tr>
    </w:tbl>
    <w:p w14:paraId="71F4CA35" w14:textId="77777777" w:rsidR="00D91945" w:rsidRPr="00D93C05" w:rsidRDefault="00D91945" w:rsidP="00D91945">
      <w:pPr>
        <w:rPr>
          <w:rFonts w:ascii="Times New Roman" w:eastAsia="Times New Roman" w:hAnsi="Times New Roman" w:cs="Times New Roman"/>
        </w:rPr>
      </w:pPr>
    </w:p>
    <w:tbl>
      <w:tblPr>
        <w:tblW w:w="9585" w:type="dxa"/>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2325"/>
        <w:gridCol w:w="2760"/>
        <w:gridCol w:w="2760"/>
      </w:tblGrid>
      <w:tr w:rsidR="00D91945" w:rsidRPr="00D93C05" w14:paraId="00D47247" w14:textId="77777777" w:rsidTr="00D91945">
        <w:tc>
          <w:tcPr>
            <w:tcW w:w="1740" w:type="dxa"/>
            <w:shd w:val="clear" w:color="auto" w:fill="auto"/>
            <w:tcMar>
              <w:top w:w="100" w:type="dxa"/>
              <w:left w:w="100" w:type="dxa"/>
              <w:bottom w:w="100" w:type="dxa"/>
              <w:right w:w="100" w:type="dxa"/>
            </w:tcMar>
          </w:tcPr>
          <w:p w14:paraId="56FE3915"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b/>
                <w:bCs/>
              </w:rPr>
            </w:pPr>
            <w:r w:rsidRPr="00D93C05">
              <w:rPr>
                <w:rFonts w:ascii="Times New Roman" w:eastAsia="Times New Roman" w:hAnsi="Times New Roman" w:cs="Times New Roman"/>
                <w:b/>
                <w:bCs/>
              </w:rPr>
              <w:t>Coding Family</w:t>
            </w:r>
          </w:p>
        </w:tc>
        <w:tc>
          <w:tcPr>
            <w:tcW w:w="2325" w:type="dxa"/>
            <w:shd w:val="clear" w:color="auto" w:fill="auto"/>
            <w:tcMar>
              <w:top w:w="100" w:type="dxa"/>
              <w:left w:w="100" w:type="dxa"/>
              <w:bottom w:w="100" w:type="dxa"/>
              <w:right w:w="100" w:type="dxa"/>
            </w:tcMar>
          </w:tcPr>
          <w:p w14:paraId="71E0AEC5"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b/>
                <w:bCs/>
              </w:rPr>
            </w:pPr>
            <w:r w:rsidRPr="00D93C05">
              <w:rPr>
                <w:rFonts w:ascii="Times New Roman" w:eastAsia="Times New Roman" w:hAnsi="Times New Roman" w:cs="Times New Roman"/>
                <w:b/>
                <w:bCs/>
              </w:rPr>
              <w:t>Purpose</w:t>
            </w:r>
          </w:p>
        </w:tc>
        <w:tc>
          <w:tcPr>
            <w:tcW w:w="2760" w:type="dxa"/>
            <w:shd w:val="clear" w:color="auto" w:fill="auto"/>
            <w:tcMar>
              <w:top w:w="100" w:type="dxa"/>
              <w:left w:w="100" w:type="dxa"/>
              <w:bottom w:w="100" w:type="dxa"/>
              <w:right w:w="100" w:type="dxa"/>
            </w:tcMar>
          </w:tcPr>
          <w:p w14:paraId="539DBB18"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b/>
                <w:bCs/>
              </w:rPr>
            </w:pPr>
            <w:r w:rsidRPr="00D93C05">
              <w:rPr>
                <w:rFonts w:ascii="Times New Roman" w:eastAsia="Times New Roman" w:hAnsi="Times New Roman" w:cs="Times New Roman"/>
                <w:b/>
                <w:bCs/>
              </w:rPr>
              <w:t xml:space="preserve">Example from </w:t>
            </w:r>
            <w:r w:rsidRPr="00D93C05">
              <w:rPr>
                <w:rFonts w:ascii="Times New Roman" w:eastAsia="Times New Roman" w:hAnsi="Times New Roman" w:cs="Times New Roman"/>
                <w:b/>
                <w:bCs/>
                <w:i/>
              </w:rPr>
              <w:t xml:space="preserve">SoundCloud </w:t>
            </w:r>
            <w:r w:rsidRPr="00D93C05">
              <w:rPr>
                <w:rFonts w:ascii="Times New Roman" w:eastAsia="Times New Roman" w:hAnsi="Times New Roman" w:cs="Times New Roman"/>
                <w:b/>
                <w:bCs/>
              </w:rPr>
              <w:t>Interview (Raw Data)</w:t>
            </w:r>
          </w:p>
        </w:tc>
        <w:tc>
          <w:tcPr>
            <w:tcW w:w="2760" w:type="dxa"/>
            <w:shd w:val="clear" w:color="auto" w:fill="auto"/>
            <w:tcMar>
              <w:top w:w="100" w:type="dxa"/>
              <w:left w:w="100" w:type="dxa"/>
              <w:bottom w:w="100" w:type="dxa"/>
              <w:right w:w="100" w:type="dxa"/>
            </w:tcMar>
          </w:tcPr>
          <w:p w14:paraId="651F678D"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b/>
                <w:bCs/>
              </w:rPr>
            </w:pPr>
            <w:r w:rsidRPr="00D93C05">
              <w:rPr>
                <w:rFonts w:ascii="Times New Roman" w:eastAsia="Times New Roman" w:hAnsi="Times New Roman" w:cs="Times New Roman"/>
                <w:b/>
                <w:bCs/>
              </w:rPr>
              <w:t>This section of text fits this coding family because...</w:t>
            </w:r>
          </w:p>
        </w:tc>
      </w:tr>
      <w:tr w:rsidR="00D91945" w:rsidRPr="00D93C05" w14:paraId="7B4D5E99" w14:textId="77777777" w:rsidTr="00D91945">
        <w:tc>
          <w:tcPr>
            <w:tcW w:w="1740" w:type="dxa"/>
            <w:shd w:val="clear" w:color="auto" w:fill="auto"/>
            <w:tcMar>
              <w:top w:w="100" w:type="dxa"/>
              <w:left w:w="100" w:type="dxa"/>
              <w:bottom w:w="100" w:type="dxa"/>
              <w:right w:w="100" w:type="dxa"/>
            </w:tcMar>
          </w:tcPr>
          <w:p w14:paraId="7130D067"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Setting/Context Codes</w:t>
            </w:r>
          </w:p>
        </w:tc>
        <w:tc>
          <w:tcPr>
            <w:tcW w:w="2325" w:type="dxa"/>
            <w:shd w:val="clear" w:color="auto" w:fill="auto"/>
            <w:tcMar>
              <w:top w:w="100" w:type="dxa"/>
              <w:left w:w="100" w:type="dxa"/>
              <w:bottom w:w="100" w:type="dxa"/>
              <w:right w:w="100" w:type="dxa"/>
            </w:tcMar>
          </w:tcPr>
          <w:p w14:paraId="78B7EB9D"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 xml:space="preserve">To sort general information about the data (e.g. place, context, participants). </w:t>
            </w:r>
          </w:p>
        </w:tc>
        <w:tc>
          <w:tcPr>
            <w:tcW w:w="2760" w:type="dxa"/>
            <w:shd w:val="clear" w:color="auto" w:fill="auto"/>
            <w:tcMar>
              <w:top w:w="100" w:type="dxa"/>
              <w:left w:w="100" w:type="dxa"/>
              <w:bottom w:w="100" w:type="dxa"/>
              <w:right w:w="100" w:type="dxa"/>
            </w:tcMar>
          </w:tcPr>
          <w:p w14:paraId="42D6D681" w14:textId="77777777" w:rsidR="00D91945" w:rsidRPr="00D93C05" w:rsidRDefault="00D91945" w:rsidP="00D91945">
            <w:pPr>
              <w:widowControl w:val="0"/>
              <w:rPr>
                <w:rFonts w:ascii="Times New Roman" w:eastAsia="Times New Roman" w:hAnsi="Times New Roman" w:cs="Times New Roman"/>
              </w:rPr>
            </w:pPr>
            <w:r w:rsidRPr="00D93C05">
              <w:rPr>
                <w:rFonts w:ascii="Times New Roman" w:eastAsia="Times New Roman" w:hAnsi="Times New Roman" w:cs="Times New Roman"/>
                <w:i/>
              </w:rPr>
              <w:t>SoundCloud</w:t>
            </w:r>
            <w:r w:rsidRPr="00D93C05">
              <w:rPr>
                <w:rFonts w:ascii="Times New Roman" w:eastAsia="Times New Roman" w:hAnsi="Times New Roman" w:cs="Times New Roman"/>
              </w:rPr>
              <w:t xml:space="preserve"> was founded in 2007. </w:t>
            </w:r>
          </w:p>
        </w:tc>
        <w:tc>
          <w:tcPr>
            <w:tcW w:w="2760" w:type="dxa"/>
            <w:shd w:val="clear" w:color="auto" w:fill="auto"/>
            <w:tcMar>
              <w:top w:w="100" w:type="dxa"/>
              <w:left w:w="100" w:type="dxa"/>
              <w:bottom w:w="100" w:type="dxa"/>
              <w:right w:w="100" w:type="dxa"/>
            </w:tcMar>
          </w:tcPr>
          <w:p w14:paraId="46EFDF11" w14:textId="77777777" w:rsidR="00D91945" w:rsidRPr="00D93C05" w:rsidRDefault="00D91945" w:rsidP="00D91945">
            <w:pPr>
              <w:widowControl w:val="0"/>
              <w:rPr>
                <w:rFonts w:ascii="Times New Roman" w:eastAsia="Times New Roman" w:hAnsi="Times New Roman" w:cs="Times New Roman"/>
              </w:rPr>
            </w:pPr>
            <w:r w:rsidRPr="00D93C05">
              <w:rPr>
                <w:rFonts w:ascii="Times New Roman" w:eastAsia="Times New Roman" w:hAnsi="Times New Roman" w:cs="Times New Roman"/>
              </w:rPr>
              <w:t xml:space="preserve">By stating the year that </w:t>
            </w:r>
            <w:r w:rsidRPr="00D93C05">
              <w:rPr>
                <w:rFonts w:ascii="Times New Roman" w:eastAsia="Times New Roman" w:hAnsi="Times New Roman" w:cs="Times New Roman"/>
                <w:i/>
              </w:rPr>
              <w:t>SoundCloud</w:t>
            </w:r>
            <w:r w:rsidRPr="00D93C05">
              <w:rPr>
                <w:rFonts w:ascii="Times New Roman" w:eastAsia="Times New Roman" w:hAnsi="Times New Roman" w:cs="Times New Roman"/>
              </w:rPr>
              <w:t xml:space="preserve"> was founded, it gives the reader context as to when this program was created in relation to other world events or technological advances. </w:t>
            </w:r>
          </w:p>
        </w:tc>
      </w:tr>
      <w:tr w:rsidR="00D91945" w:rsidRPr="00D93C05" w14:paraId="75A319EA" w14:textId="77777777" w:rsidTr="00D91945">
        <w:tc>
          <w:tcPr>
            <w:tcW w:w="1740" w:type="dxa"/>
            <w:shd w:val="clear" w:color="auto" w:fill="auto"/>
            <w:tcMar>
              <w:top w:w="100" w:type="dxa"/>
              <w:left w:w="100" w:type="dxa"/>
              <w:bottom w:w="100" w:type="dxa"/>
              <w:right w:w="100" w:type="dxa"/>
            </w:tcMar>
          </w:tcPr>
          <w:p w14:paraId="62330219"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Definition of the Situation Codes</w:t>
            </w:r>
          </w:p>
        </w:tc>
        <w:tc>
          <w:tcPr>
            <w:tcW w:w="2325" w:type="dxa"/>
            <w:shd w:val="clear" w:color="auto" w:fill="auto"/>
            <w:tcMar>
              <w:top w:w="100" w:type="dxa"/>
              <w:left w:w="100" w:type="dxa"/>
              <w:bottom w:w="100" w:type="dxa"/>
              <w:right w:w="100" w:type="dxa"/>
            </w:tcMar>
          </w:tcPr>
          <w:p w14:paraId="59E47649"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 xml:space="preserve">To explain how the participant understands a situation </w:t>
            </w:r>
          </w:p>
        </w:tc>
        <w:tc>
          <w:tcPr>
            <w:tcW w:w="2760" w:type="dxa"/>
            <w:shd w:val="clear" w:color="auto" w:fill="auto"/>
            <w:tcMar>
              <w:top w:w="100" w:type="dxa"/>
              <w:left w:w="100" w:type="dxa"/>
              <w:bottom w:w="100" w:type="dxa"/>
              <w:right w:w="100" w:type="dxa"/>
            </w:tcMar>
          </w:tcPr>
          <w:p w14:paraId="2C9ABC5E" w14:textId="77777777" w:rsidR="00D91945" w:rsidRPr="00D93C05" w:rsidRDefault="00D91945" w:rsidP="00D91945">
            <w:pPr>
              <w:widowControl w:val="0"/>
              <w:rPr>
                <w:rFonts w:ascii="Times New Roman" w:eastAsia="Times New Roman" w:hAnsi="Times New Roman" w:cs="Times New Roman"/>
              </w:rPr>
            </w:pPr>
            <w:r w:rsidRPr="00D93C05">
              <w:rPr>
                <w:rFonts w:ascii="Times New Roman" w:eastAsia="Times New Roman" w:hAnsi="Times New Roman" w:cs="Times New Roman"/>
              </w:rPr>
              <w:t xml:space="preserve">At the time, the options for sending around audio files, which can be uncompressed and very large, were a combination of e-mailing and large file transmission sites, or clunky FTPs. To make it worse, there weren’t any </w:t>
            </w:r>
            <w:proofErr w:type="gramStart"/>
            <w:r w:rsidRPr="00D93C05">
              <w:rPr>
                <w:rFonts w:ascii="Times New Roman" w:eastAsia="Times New Roman" w:hAnsi="Times New Roman" w:cs="Times New Roman"/>
              </w:rPr>
              <w:t>really elegant</w:t>
            </w:r>
            <w:proofErr w:type="gramEnd"/>
            <w:r w:rsidRPr="00D93C05">
              <w:rPr>
                <w:rFonts w:ascii="Times New Roman" w:eastAsia="Times New Roman" w:hAnsi="Times New Roman" w:cs="Times New Roman"/>
              </w:rPr>
              <w:t xml:space="preserve"> solutions for public distribution either. Musicians have a need to send around audio </w:t>
            </w:r>
            <w:r w:rsidRPr="00D93C05">
              <w:rPr>
                <w:rFonts w:ascii="Times New Roman" w:eastAsia="Times New Roman" w:hAnsi="Times New Roman" w:cs="Times New Roman"/>
              </w:rPr>
              <w:lastRenderedPageBreak/>
              <w:t xml:space="preserve">all the time: privately, like between band members or with producers or A&amp;R guys, and publicly, when trying to give fans access to your tracks. This was the problem </w:t>
            </w:r>
            <w:r w:rsidRPr="00D93C05">
              <w:rPr>
                <w:rFonts w:ascii="Times New Roman" w:eastAsia="Times New Roman" w:hAnsi="Times New Roman" w:cs="Times New Roman"/>
                <w:i/>
              </w:rPr>
              <w:t>SoundCloud</w:t>
            </w:r>
            <w:r w:rsidRPr="00D93C05">
              <w:rPr>
                <w:rFonts w:ascii="Times New Roman" w:eastAsia="Times New Roman" w:hAnsi="Times New Roman" w:cs="Times New Roman"/>
              </w:rPr>
              <w:t xml:space="preserve"> stepped in to solve.</w:t>
            </w:r>
          </w:p>
        </w:tc>
        <w:tc>
          <w:tcPr>
            <w:tcW w:w="2760" w:type="dxa"/>
            <w:shd w:val="clear" w:color="auto" w:fill="auto"/>
            <w:tcMar>
              <w:top w:w="100" w:type="dxa"/>
              <w:left w:w="100" w:type="dxa"/>
              <w:bottom w:w="100" w:type="dxa"/>
              <w:right w:w="100" w:type="dxa"/>
            </w:tcMar>
          </w:tcPr>
          <w:p w14:paraId="47392090" w14:textId="77777777" w:rsidR="00D91945" w:rsidRPr="00D93C05" w:rsidRDefault="00D91945" w:rsidP="00D91945">
            <w:pPr>
              <w:widowControl w:val="0"/>
              <w:rPr>
                <w:rFonts w:ascii="Times New Roman" w:eastAsia="Times New Roman" w:hAnsi="Times New Roman" w:cs="Times New Roman"/>
              </w:rPr>
            </w:pPr>
            <w:r w:rsidRPr="00D93C05">
              <w:rPr>
                <w:rFonts w:ascii="Times New Roman" w:eastAsia="Times New Roman" w:hAnsi="Times New Roman" w:cs="Times New Roman"/>
              </w:rPr>
              <w:lastRenderedPageBreak/>
              <w:t xml:space="preserve">The participant is explaining the situation from his point of view. </w:t>
            </w:r>
          </w:p>
        </w:tc>
      </w:tr>
      <w:tr w:rsidR="00D91945" w:rsidRPr="00D93C05" w14:paraId="733A0B9F" w14:textId="77777777" w:rsidTr="00D91945">
        <w:tc>
          <w:tcPr>
            <w:tcW w:w="1740" w:type="dxa"/>
            <w:shd w:val="clear" w:color="auto" w:fill="auto"/>
            <w:tcMar>
              <w:top w:w="100" w:type="dxa"/>
              <w:left w:w="100" w:type="dxa"/>
              <w:bottom w:w="100" w:type="dxa"/>
              <w:right w:w="100" w:type="dxa"/>
            </w:tcMar>
          </w:tcPr>
          <w:p w14:paraId="0D260B8A"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Perspectives held by subjects</w:t>
            </w:r>
          </w:p>
        </w:tc>
        <w:tc>
          <w:tcPr>
            <w:tcW w:w="2325" w:type="dxa"/>
            <w:shd w:val="clear" w:color="auto" w:fill="auto"/>
            <w:tcMar>
              <w:top w:w="100" w:type="dxa"/>
              <w:left w:w="100" w:type="dxa"/>
              <w:bottom w:w="100" w:type="dxa"/>
              <w:right w:w="100" w:type="dxa"/>
            </w:tcMar>
          </w:tcPr>
          <w:p w14:paraId="07956568"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 xml:space="preserve">To identify opinions </w:t>
            </w:r>
          </w:p>
        </w:tc>
        <w:tc>
          <w:tcPr>
            <w:tcW w:w="2760" w:type="dxa"/>
            <w:shd w:val="clear" w:color="auto" w:fill="auto"/>
            <w:tcMar>
              <w:top w:w="100" w:type="dxa"/>
              <w:left w:w="100" w:type="dxa"/>
              <w:bottom w:w="100" w:type="dxa"/>
              <w:right w:w="100" w:type="dxa"/>
            </w:tcMar>
          </w:tcPr>
          <w:p w14:paraId="09600A12" w14:textId="77777777" w:rsidR="00D91945" w:rsidRPr="00D93C05" w:rsidRDefault="00D91945" w:rsidP="00D91945">
            <w:pPr>
              <w:widowControl w:val="0"/>
              <w:rPr>
                <w:rFonts w:ascii="Times New Roman" w:eastAsia="Times New Roman" w:hAnsi="Times New Roman" w:cs="Times New Roman"/>
              </w:rPr>
            </w:pPr>
            <w:r w:rsidRPr="00D93C05">
              <w:rPr>
                <w:rFonts w:ascii="Times New Roman" w:eastAsia="Times New Roman" w:hAnsi="Times New Roman" w:cs="Times New Roman"/>
              </w:rPr>
              <w:t xml:space="preserve">...clunky FTPs. To make it worse, there weren’t any </w:t>
            </w:r>
            <w:proofErr w:type="gramStart"/>
            <w:r w:rsidRPr="00D93C05">
              <w:rPr>
                <w:rFonts w:ascii="Times New Roman" w:eastAsia="Times New Roman" w:hAnsi="Times New Roman" w:cs="Times New Roman"/>
              </w:rPr>
              <w:t>really elegant</w:t>
            </w:r>
            <w:proofErr w:type="gramEnd"/>
            <w:r w:rsidRPr="00D93C05">
              <w:rPr>
                <w:rFonts w:ascii="Times New Roman" w:eastAsia="Times New Roman" w:hAnsi="Times New Roman" w:cs="Times New Roman"/>
              </w:rPr>
              <w:t xml:space="preserve"> solutions for public distribution either. </w:t>
            </w:r>
          </w:p>
        </w:tc>
        <w:tc>
          <w:tcPr>
            <w:tcW w:w="2760" w:type="dxa"/>
            <w:shd w:val="clear" w:color="auto" w:fill="auto"/>
            <w:tcMar>
              <w:top w:w="100" w:type="dxa"/>
              <w:left w:w="100" w:type="dxa"/>
              <w:bottom w:w="100" w:type="dxa"/>
              <w:right w:w="100" w:type="dxa"/>
            </w:tcMar>
          </w:tcPr>
          <w:p w14:paraId="446F0C5C" w14:textId="77777777" w:rsidR="00D91945" w:rsidRPr="00D93C05" w:rsidRDefault="00D91945" w:rsidP="00D91945">
            <w:pPr>
              <w:widowControl w:val="0"/>
              <w:rPr>
                <w:rFonts w:ascii="Times New Roman" w:eastAsia="Times New Roman" w:hAnsi="Times New Roman" w:cs="Times New Roman"/>
              </w:rPr>
            </w:pPr>
            <w:r w:rsidRPr="00D93C05">
              <w:rPr>
                <w:rFonts w:ascii="Times New Roman" w:eastAsia="Times New Roman" w:hAnsi="Times New Roman" w:cs="Times New Roman"/>
              </w:rPr>
              <w:t xml:space="preserve">The subject uses opinionated language like “clunky” and “elegant” to describe loading audio files prior to the creation of </w:t>
            </w:r>
            <w:r w:rsidRPr="00D93C05">
              <w:rPr>
                <w:rFonts w:ascii="Times New Roman" w:eastAsia="Times New Roman" w:hAnsi="Times New Roman" w:cs="Times New Roman"/>
                <w:i/>
              </w:rPr>
              <w:t>SoundCloud</w:t>
            </w:r>
            <w:r w:rsidRPr="00D93C05">
              <w:rPr>
                <w:rFonts w:ascii="Times New Roman" w:eastAsia="Times New Roman" w:hAnsi="Times New Roman" w:cs="Times New Roman"/>
              </w:rPr>
              <w:t xml:space="preserve">. </w:t>
            </w:r>
          </w:p>
        </w:tc>
      </w:tr>
      <w:tr w:rsidR="00D91945" w:rsidRPr="00D93C05" w14:paraId="5147A98A" w14:textId="77777777" w:rsidTr="00D91945">
        <w:tc>
          <w:tcPr>
            <w:tcW w:w="1740" w:type="dxa"/>
            <w:shd w:val="clear" w:color="auto" w:fill="auto"/>
            <w:tcMar>
              <w:top w:w="100" w:type="dxa"/>
              <w:left w:w="100" w:type="dxa"/>
              <w:bottom w:w="100" w:type="dxa"/>
              <w:right w:w="100" w:type="dxa"/>
            </w:tcMar>
          </w:tcPr>
          <w:p w14:paraId="14DCC9AD"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Process codes</w:t>
            </w:r>
          </w:p>
        </w:tc>
        <w:tc>
          <w:tcPr>
            <w:tcW w:w="2325" w:type="dxa"/>
            <w:shd w:val="clear" w:color="auto" w:fill="auto"/>
            <w:tcMar>
              <w:top w:w="100" w:type="dxa"/>
              <w:left w:w="100" w:type="dxa"/>
              <w:bottom w:w="100" w:type="dxa"/>
              <w:right w:w="100" w:type="dxa"/>
            </w:tcMar>
          </w:tcPr>
          <w:p w14:paraId="7531AF83"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To identify sequences of events, or changes over time</w:t>
            </w:r>
          </w:p>
        </w:tc>
        <w:tc>
          <w:tcPr>
            <w:tcW w:w="2760" w:type="dxa"/>
            <w:shd w:val="clear" w:color="auto" w:fill="auto"/>
            <w:tcMar>
              <w:top w:w="100" w:type="dxa"/>
              <w:left w:w="100" w:type="dxa"/>
              <w:bottom w:w="100" w:type="dxa"/>
              <w:right w:w="100" w:type="dxa"/>
            </w:tcMar>
          </w:tcPr>
          <w:p w14:paraId="0E27213D" w14:textId="77777777" w:rsidR="00D91945" w:rsidRPr="00D93C05" w:rsidRDefault="00D91945" w:rsidP="00D91945">
            <w:pPr>
              <w:widowControl w:val="0"/>
              <w:rPr>
                <w:rFonts w:ascii="Times New Roman" w:eastAsia="Times New Roman" w:hAnsi="Times New Roman" w:cs="Times New Roman"/>
              </w:rPr>
            </w:pPr>
            <w:r w:rsidRPr="00D93C05">
              <w:rPr>
                <w:rFonts w:ascii="Times New Roman" w:eastAsia="Times New Roman" w:hAnsi="Times New Roman" w:cs="Times New Roman"/>
              </w:rPr>
              <w:t>At the time, the options for sending around audio files, which can be uncompressed and very large, were a combination of e-mailing and large file transmission sites, or clunky FTPs.</w:t>
            </w:r>
          </w:p>
        </w:tc>
        <w:tc>
          <w:tcPr>
            <w:tcW w:w="2760" w:type="dxa"/>
            <w:shd w:val="clear" w:color="auto" w:fill="auto"/>
            <w:tcMar>
              <w:top w:w="100" w:type="dxa"/>
              <w:left w:w="100" w:type="dxa"/>
              <w:bottom w:w="100" w:type="dxa"/>
              <w:right w:w="100" w:type="dxa"/>
            </w:tcMar>
          </w:tcPr>
          <w:p w14:paraId="0E32E353" w14:textId="77777777" w:rsidR="00D91945" w:rsidRPr="00D93C05" w:rsidRDefault="00D91945" w:rsidP="00D91945">
            <w:pPr>
              <w:widowControl w:val="0"/>
              <w:rPr>
                <w:rFonts w:ascii="Times New Roman" w:eastAsia="Times New Roman" w:hAnsi="Times New Roman" w:cs="Times New Roman"/>
              </w:rPr>
            </w:pPr>
            <w:r w:rsidRPr="00D93C05">
              <w:rPr>
                <w:rFonts w:ascii="Times New Roman" w:eastAsia="Times New Roman" w:hAnsi="Times New Roman" w:cs="Times New Roman"/>
              </w:rPr>
              <w:t xml:space="preserve">The subject describes the process or sequence formally used to upload audio files. </w:t>
            </w:r>
          </w:p>
        </w:tc>
      </w:tr>
      <w:tr w:rsidR="00D91945" w:rsidRPr="00D93C05" w14:paraId="74205A96" w14:textId="77777777" w:rsidTr="00D91945">
        <w:tc>
          <w:tcPr>
            <w:tcW w:w="1740" w:type="dxa"/>
            <w:shd w:val="clear" w:color="auto" w:fill="auto"/>
            <w:tcMar>
              <w:top w:w="100" w:type="dxa"/>
              <w:left w:w="100" w:type="dxa"/>
              <w:bottom w:w="100" w:type="dxa"/>
              <w:right w:w="100" w:type="dxa"/>
            </w:tcMar>
          </w:tcPr>
          <w:p w14:paraId="453FEA6D"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Activity codes</w:t>
            </w:r>
          </w:p>
        </w:tc>
        <w:tc>
          <w:tcPr>
            <w:tcW w:w="2325" w:type="dxa"/>
            <w:shd w:val="clear" w:color="auto" w:fill="auto"/>
            <w:tcMar>
              <w:top w:w="100" w:type="dxa"/>
              <w:left w:w="100" w:type="dxa"/>
              <w:bottom w:w="100" w:type="dxa"/>
              <w:right w:w="100" w:type="dxa"/>
            </w:tcMar>
          </w:tcPr>
          <w:p w14:paraId="40112287"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To identify regularly occurring behaviors</w:t>
            </w:r>
          </w:p>
        </w:tc>
        <w:tc>
          <w:tcPr>
            <w:tcW w:w="2760" w:type="dxa"/>
            <w:shd w:val="clear" w:color="auto" w:fill="auto"/>
            <w:tcMar>
              <w:top w:w="100" w:type="dxa"/>
              <w:left w:w="100" w:type="dxa"/>
              <w:bottom w:w="100" w:type="dxa"/>
              <w:right w:w="100" w:type="dxa"/>
            </w:tcMar>
          </w:tcPr>
          <w:p w14:paraId="6C666118"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 xml:space="preserve">.... sending around audio files.... e-mailing...send around audio </w:t>
            </w:r>
          </w:p>
        </w:tc>
        <w:tc>
          <w:tcPr>
            <w:tcW w:w="2760" w:type="dxa"/>
            <w:shd w:val="clear" w:color="auto" w:fill="auto"/>
            <w:tcMar>
              <w:top w:w="100" w:type="dxa"/>
              <w:left w:w="100" w:type="dxa"/>
              <w:bottom w:w="100" w:type="dxa"/>
              <w:right w:w="100" w:type="dxa"/>
            </w:tcMar>
          </w:tcPr>
          <w:p w14:paraId="2EA7BD92"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 xml:space="preserve">The subject describes activities. </w:t>
            </w:r>
          </w:p>
        </w:tc>
      </w:tr>
      <w:tr w:rsidR="00D91945" w:rsidRPr="00D93C05" w14:paraId="21B5A00E" w14:textId="77777777" w:rsidTr="00D91945">
        <w:tc>
          <w:tcPr>
            <w:tcW w:w="1740" w:type="dxa"/>
            <w:shd w:val="clear" w:color="auto" w:fill="auto"/>
            <w:tcMar>
              <w:top w:w="100" w:type="dxa"/>
              <w:left w:w="100" w:type="dxa"/>
              <w:bottom w:w="100" w:type="dxa"/>
              <w:right w:w="100" w:type="dxa"/>
            </w:tcMar>
          </w:tcPr>
          <w:p w14:paraId="18401073"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Theoretical codes</w:t>
            </w:r>
          </w:p>
        </w:tc>
        <w:tc>
          <w:tcPr>
            <w:tcW w:w="2325" w:type="dxa"/>
            <w:shd w:val="clear" w:color="auto" w:fill="auto"/>
            <w:tcMar>
              <w:top w:w="100" w:type="dxa"/>
              <w:left w:w="100" w:type="dxa"/>
              <w:bottom w:w="100" w:type="dxa"/>
              <w:right w:w="100" w:type="dxa"/>
            </w:tcMar>
          </w:tcPr>
          <w:p w14:paraId="6CC3CB3D"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To draw conclusions from the research</w:t>
            </w:r>
          </w:p>
        </w:tc>
        <w:tc>
          <w:tcPr>
            <w:tcW w:w="2760" w:type="dxa"/>
            <w:shd w:val="clear" w:color="auto" w:fill="auto"/>
            <w:tcMar>
              <w:top w:w="100" w:type="dxa"/>
              <w:left w:w="100" w:type="dxa"/>
              <w:bottom w:w="100" w:type="dxa"/>
              <w:right w:w="100" w:type="dxa"/>
            </w:tcMar>
          </w:tcPr>
          <w:p w14:paraId="2E58DD98"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w:t>
            </w:r>
            <w:r w:rsidRPr="00D93C05">
              <w:rPr>
                <w:rFonts w:ascii="Times New Roman" w:eastAsia="Times New Roman" w:hAnsi="Times New Roman" w:cs="Times New Roman"/>
                <w:i/>
              </w:rPr>
              <w:t>SoundCloud</w:t>
            </w:r>
            <w:r w:rsidRPr="00D93C05">
              <w:rPr>
                <w:rFonts w:ascii="Times New Roman" w:eastAsia="Times New Roman" w:hAnsi="Times New Roman" w:cs="Times New Roman"/>
              </w:rPr>
              <w:t xml:space="preserve"> stepped into solve</w:t>
            </w:r>
          </w:p>
        </w:tc>
        <w:tc>
          <w:tcPr>
            <w:tcW w:w="2760" w:type="dxa"/>
            <w:shd w:val="clear" w:color="auto" w:fill="auto"/>
            <w:tcMar>
              <w:top w:w="100" w:type="dxa"/>
              <w:left w:w="100" w:type="dxa"/>
              <w:bottom w:w="100" w:type="dxa"/>
              <w:right w:w="100" w:type="dxa"/>
            </w:tcMar>
          </w:tcPr>
          <w:p w14:paraId="2239E291" w14:textId="77777777" w:rsidR="00D91945" w:rsidRPr="00D93C05" w:rsidRDefault="00D91945" w:rsidP="00D91945">
            <w:pPr>
              <w:widowControl w:val="0"/>
              <w:pBdr>
                <w:top w:val="nil"/>
                <w:left w:val="nil"/>
                <w:bottom w:val="nil"/>
                <w:right w:val="nil"/>
                <w:between w:val="nil"/>
              </w:pBdr>
              <w:rPr>
                <w:rFonts w:ascii="Times New Roman" w:eastAsia="Times New Roman" w:hAnsi="Times New Roman" w:cs="Times New Roman"/>
              </w:rPr>
            </w:pPr>
            <w:r w:rsidRPr="00D93C05">
              <w:rPr>
                <w:rFonts w:ascii="Times New Roman" w:eastAsia="Times New Roman" w:hAnsi="Times New Roman" w:cs="Times New Roman"/>
              </w:rPr>
              <w:t>The subject describes how the technology addressed the problem</w:t>
            </w:r>
          </w:p>
        </w:tc>
      </w:tr>
    </w:tbl>
    <w:p w14:paraId="4FCA0896" w14:textId="77777777" w:rsidR="00D91945" w:rsidRPr="00D93C05" w:rsidRDefault="00D91945" w:rsidP="00D91945">
      <w:pPr>
        <w:rPr>
          <w:rFonts w:ascii="Times New Roman" w:eastAsia="Times New Roman" w:hAnsi="Times New Roman" w:cs="Times New Roman"/>
        </w:rPr>
      </w:pPr>
    </w:p>
    <w:p w14:paraId="14B8319F"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Notice that the same text could be used as an example for several of coding families. However, you should use the research question as a guide when selecting some coding families over others. For example, if the research question asks, </w:t>
      </w:r>
      <w:r w:rsidRPr="00D93C05">
        <w:rPr>
          <w:rFonts w:ascii="Times New Roman" w:eastAsia="Times New Roman" w:hAnsi="Times New Roman" w:cs="Times New Roman"/>
          <w:i/>
          <w:iCs/>
        </w:rPr>
        <w:t>“How do musicians interact with technology?”</w:t>
      </w:r>
      <w:r w:rsidRPr="00D93C05">
        <w:rPr>
          <w:rFonts w:ascii="Times New Roman" w:eastAsia="Times New Roman" w:hAnsi="Times New Roman" w:cs="Times New Roman"/>
        </w:rPr>
        <w:t xml:space="preserve">, we may decide that the word “interact” in the research question relates most to the “activity code” family.  However, if the research question asks, </w:t>
      </w:r>
      <w:r w:rsidRPr="00D93C05">
        <w:rPr>
          <w:rFonts w:ascii="Times New Roman" w:eastAsia="Times New Roman" w:hAnsi="Times New Roman" w:cs="Times New Roman"/>
          <w:i/>
          <w:iCs/>
        </w:rPr>
        <w:t>“What problems do musicians face in the Music Industry?”</w:t>
      </w:r>
      <w:r w:rsidRPr="00D93C05">
        <w:rPr>
          <w:rFonts w:ascii="Times New Roman" w:eastAsia="Times New Roman" w:hAnsi="Times New Roman" w:cs="Times New Roman"/>
        </w:rPr>
        <w:t>, we may decide that the word “problem” in the question relates to “the definition of situation code” family and/or “the perspective codes” family.  There may be times in your research where you will have to focus more on one type of code over others, although you should strive to use all of them.</w:t>
      </w:r>
    </w:p>
    <w:p w14:paraId="321C8640"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Here is a list of some commonly used code families for your work.  This is not a complete list of code families, but it can give you some ideas on how to begin your coding work.  (resource 1 goes here). </w:t>
      </w:r>
    </w:p>
    <w:p w14:paraId="0B57046B" w14:textId="77777777" w:rsidR="00D91945" w:rsidRPr="00D93C05" w:rsidRDefault="00D91945" w:rsidP="00D91945">
      <w:pPr>
        <w:ind w:firstLine="720"/>
        <w:rPr>
          <w:rFonts w:ascii="Times New Roman" w:eastAsia="Times New Roman" w:hAnsi="Times New Roman" w:cs="Times New Roman"/>
        </w:rPr>
      </w:pPr>
    </w:p>
    <w:p w14:paraId="24513512" w14:textId="77777777" w:rsidR="00D91945" w:rsidRPr="00D93C05" w:rsidRDefault="00D91945" w:rsidP="00D91945">
      <w:pPr>
        <w:pStyle w:val="Heading3"/>
        <w:spacing w:before="0"/>
        <w:rPr>
          <w:rFonts w:ascii="Times New Roman" w:hAnsi="Times New Roman" w:cs="Times New Roman"/>
        </w:rPr>
      </w:pPr>
      <w:r w:rsidRPr="00D93C05">
        <w:rPr>
          <w:rFonts w:ascii="Times New Roman" w:hAnsi="Times New Roman" w:cs="Times New Roman"/>
        </w:rPr>
        <w:lastRenderedPageBreak/>
        <w:t>Selecting Coding Supplies: Paper/Pencil vs. Technology</w:t>
      </w:r>
    </w:p>
    <w:p w14:paraId="5A6DAFDB"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Ultimately, the researcher will need to physically mark their ideas on the selected text. Deciding whether this should be done using traditional office supplies (e.g. pencils, pens, highlighters, sticky-notes, paper clips, envelopes) or computer programs (e.g. Microsoft Programs like Word or Excel, Google programs like Docs or Sheets, Qualitative Data software) is a personal decision for the researcher.  Both types of supplies have their pros and cons so the selection of the coding supply should be made based on efficiency and cost. </w:t>
      </w:r>
    </w:p>
    <w:p w14:paraId="4EAB721D"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Traditional office supplies (e.g. pencils, pens, highlighters, colored pencils, sticky-notes, scissors, paper clips, envelopes, etc.) are inexpensive, are readily available, and require no training. When researchers use office supplies to code, they simply write codes in the margins of the pages of the data, highlight sections of code using colored highlighters or colored pencils, and/or mark pages with </w:t>
      </w:r>
      <w:proofErr w:type="gramStart"/>
      <w:r w:rsidRPr="00D93C05">
        <w:rPr>
          <w:rFonts w:ascii="Times New Roman" w:eastAsia="Times New Roman" w:hAnsi="Times New Roman" w:cs="Times New Roman"/>
        </w:rPr>
        <w:t>sticky-notes</w:t>
      </w:r>
      <w:proofErr w:type="gramEnd"/>
      <w:r w:rsidRPr="00D93C05">
        <w:rPr>
          <w:rFonts w:ascii="Times New Roman" w:eastAsia="Times New Roman" w:hAnsi="Times New Roman" w:cs="Times New Roman"/>
        </w:rPr>
        <w:t xml:space="preserve">.  Sometimes, researchers they will assign colors to codes so they can find the related coded text more easily.  Sections of text with the same code (or color) can be cut out with scissors and organized into groups with paper clips or envelopes. </w:t>
      </w:r>
    </w:p>
    <w:p w14:paraId="62AF8A81" w14:textId="5953554A" w:rsidR="00D91945" w:rsidRPr="00D93C05" w:rsidRDefault="00156822" w:rsidP="00D91945">
      <w:pPr>
        <w:ind w:firstLine="720"/>
        <w:rPr>
          <w:rFonts w:ascii="Times New Roman" w:eastAsia="Times New Roman" w:hAnsi="Times New Roman" w:cs="Times New Roman"/>
        </w:rPr>
      </w:pPr>
      <w:r>
        <w:rPr>
          <w:rFonts w:ascii="Times New Roman" w:eastAsia="Times New Roman" w:hAnsi="Times New Roman" w:cs="Times New Roman"/>
        </w:rPr>
        <w:t>T</w:t>
      </w:r>
      <w:r w:rsidR="00D91945" w:rsidRPr="00D93C05">
        <w:rPr>
          <w:rFonts w:ascii="Times New Roman" w:eastAsia="Times New Roman" w:hAnsi="Times New Roman" w:cs="Times New Roman"/>
        </w:rPr>
        <w:t xml:space="preserve">here are some drawbacks to consider as well. With traditional office supplies, accounting for all the codes and data manually can become messy and cumbersome.  Also, there may be sections of raw data that can be coded with more than one code so those pages would need to be reproduced and coded more than once (once for each code).  Finally, there is only one copy of the coded text so if the data is lost the researcher would have to start over. </w:t>
      </w:r>
    </w:p>
    <w:p w14:paraId="48E029DD"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Using technology to code has advantages and disadvantages too. An advantage to using word processing office technology (e.g. Microsoft Word, Google Docs) is that the data can be duplicated and saved quickly.  Sections of text can be coded once, or more times, by using the highlighter or comment features. If sections of text have the same code, they can be cut/pasted into new documents to help organize all the codes into different pages or several different files. Depending on the researcher’s familiarity and comfort level, spreadsheet program (e.g. Microsoft Word, Google Sheets) functionality, can be combined to automatically create tables with the duplicated comments and codes.  Of course, the premier qualitative research programs (e.g. </w:t>
      </w:r>
      <w:proofErr w:type="spellStart"/>
      <w:r w:rsidRPr="00D93C05">
        <w:rPr>
          <w:rFonts w:ascii="Times New Roman" w:eastAsia="Times New Roman" w:hAnsi="Times New Roman" w:cs="Times New Roman"/>
        </w:rPr>
        <w:t>Qualtrix</w:t>
      </w:r>
      <w:proofErr w:type="spellEnd"/>
      <w:r w:rsidRPr="00D93C05">
        <w:rPr>
          <w:rFonts w:ascii="Times New Roman" w:eastAsia="Times New Roman" w:hAnsi="Times New Roman" w:cs="Times New Roman"/>
        </w:rPr>
        <w:t xml:space="preserve">, </w:t>
      </w:r>
      <w:proofErr w:type="spellStart"/>
      <w:r w:rsidRPr="00D93C05">
        <w:rPr>
          <w:rFonts w:ascii="Times New Roman" w:eastAsia="Times New Roman" w:hAnsi="Times New Roman" w:cs="Times New Roman"/>
        </w:rPr>
        <w:t>Quirkos</w:t>
      </w:r>
      <w:proofErr w:type="spellEnd"/>
      <w:r w:rsidRPr="00D93C05">
        <w:rPr>
          <w:rFonts w:ascii="Times New Roman" w:eastAsia="Times New Roman" w:hAnsi="Times New Roman" w:cs="Times New Roman"/>
        </w:rPr>
        <w:t xml:space="preserve">, MAXQDA) offer the greatest functionality by allowing researchers to do things like click-and-drag sections of data into code folders, keep running counts of codes, and create reminders for the researcher.  </w:t>
      </w:r>
    </w:p>
    <w:p w14:paraId="19221A16" w14:textId="16E83282" w:rsidR="00D91945" w:rsidRPr="00D93C05" w:rsidRDefault="00156822" w:rsidP="00D91945">
      <w:pPr>
        <w:ind w:firstLine="720"/>
        <w:rPr>
          <w:rFonts w:ascii="Times New Roman" w:eastAsia="Times New Roman" w:hAnsi="Times New Roman" w:cs="Times New Roman"/>
        </w:rPr>
      </w:pPr>
      <w:r>
        <w:rPr>
          <w:rFonts w:ascii="Times New Roman" w:eastAsia="Times New Roman" w:hAnsi="Times New Roman" w:cs="Times New Roman"/>
        </w:rPr>
        <w:t>T</w:t>
      </w:r>
      <w:r w:rsidR="00D91945" w:rsidRPr="00D93C05">
        <w:rPr>
          <w:rFonts w:ascii="Times New Roman" w:eastAsia="Times New Roman" w:hAnsi="Times New Roman" w:cs="Times New Roman"/>
        </w:rPr>
        <w:t xml:space="preserve">echnology is a wonderful tool, but drawbacks to using technology should be considered carefully too.  Obviously, the researcher will need access to a computer, electricity and, possibly the internet, to be able to conduct any work. While some programs are free (e.g. Google Docs, Google Sheets), some programs can cost hundreds of dollars (e.g. Microsoft Office, </w:t>
      </w:r>
      <w:proofErr w:type="spellStart"/>
      <w:r w:rsidR="00D91945" w:rsidRPr="00D93C05">
        <w:rPr>
          <w:rFonts w:ascii="Times New Roman" w:eastAsia="Times New Roman" w:hAnsi="Times New Roman" w:cs="Times New Roman"/>
        </w:rPr>
        <w:t>Qualtrix</w:t>
      </w:r>
      <w:proofErr w:type="spellEnd"/>
      <w:r w:rsidR="00D91945" w:rsidRPr="00D93C05">
        <w:rPr>
          <w:rFonts w:ascii="Times New Roman" w:eastAsia="Times New Roman" w:hAnsi="Times New Roman" w:cs="Times New Roman"/>
        </w:rPr>
        <w:t xml:space="preserve">, </w:t>
      </w:r>
      <w:proofErr w:type="spellStart"/>
      <w:r w:rsidR="00D91945" w:rsidRPr="00D93C05">
        <w:rPr>
          <w:rFonts w:ascii="Times New Roman" w:eastAsia="Times New Roman" w:hAnsi="Times New Roman" w:cs="Times New Roman"/>
        </w:rPr>
        <w:t>Quirkos</w:t>
      </w:r>
      <w:proofErr w:type="spellEnd"/>
      <w:r w:rsidR="00D91945" w:rsidRPr="00D93C05">
        <w:rPr>
          <w:rFonts w:ascii="Times New Roman" w:eastAsia="Times New Roman" w:hAnsi="Times New Roman" w:cs="Times New Roman"/>
        </w:rPr>
        <w:t xml:space="preserve">, MAXQDA). Also, some programs are </w:t>
      </w:r>
      <w:proofErr w:type="gramStart"/>
      <w:r w:rsidR="00D91945" w:rsidRPr="00D93C05">
        <w:rPr>
          <w:rFonts w:ascii="Times New Roman" w:eastAsia="Times New Roman" w:hAnsi="Times New Roman" w:cs="Times New Roman"/>
        </w:rPr>
        <w:t>fairly intuitive</w:t>
      </w:r>
      <w:proofErr w:type="gramEnd"/>
      <w:r w:rsidR="00D91945" w:rsidRPr="00D93C05">
        <w:rPr>
          <w:rFonts w:ascii="Times New Roman" w:eastAsia="Times New Roman" w:hAnsi="Times New Roman" w:cs="Times New Roman"/>
        </w:rPr>
        <w:t xml:space="preserve"> and easy to use (e.g. MS Word, Google Docs), but some programs are more complex (e.g. MS Excel, Google Sheets) and specialized programs require training (e.g. </w:t>
      </w:r>
      <w:proofErr w:type="spellStart"/>
      <w:r w:rsidR="00D91945" w:rsidRPr="00D93C05">
        <w:rPr>
          <w:rFonts w:ascii="Times New Roman" w:eastAsia="Times New Roman" w:hAnsi="Times New Roman" w:cs="Times New Roman"/>
        </w:rPr>
        <w:t>Qualtrix</w:t>
      </w:r>
      <w:proofErr w:type="spellEnd"/>
      <w:r w:rsidR="00D91945" w:rsidRPr="00D93C05">
        <w:rPr>
          <w:rFonts w:ascii="Times New Roman" w:eastAsia="Times New Roman" w:hAnsi="Times New Roman" w:cs="Times New Roman"/>
        </w:rPr>
        <w:t xml:space="preserve">, </w:t>
      </w:r>
      <w:proofErr w:type="spellStart"/>
      <w:r w:rsidR="00D91945" w:rsidRPr="00D93C05">
        <w:rPr>
          <w:rFonts w:ascii="Times New Roman" w:eastAsia="Times New Roman" w:hAnsi="Times New Roman" w:cs="Times New Roman"/>
        </w:rPr>
        <w:t>Quirkos</w:t>
      </w:r>
      <w:proofErr w:type="spellEnd"/>
      <w:r w:rsidR="00D91945" w:rsidRPr="00D93C05">
        <w:rPr>
          <w:rFonts w:ascii="Times New Roman" w:eastAsia="Times New Roman" w:hAnsi="Times New Roman" w:cs="Times New Roman"/>
        </w:rPr>
        <w:t xml:space="preserve">, MAXQDA).   </w:t>
      </w:r>
    </w:p>
    <w:p w14:paraId="4C4F81BA" w14:textId="77777777" w:rsidR="00D91945" w:rsidRPr="00D93C05" w:rsidRDefault="00D91945" w:rsidP="00D91945">
      <w:pPr>
        <w:pStyle w:val="Heading2"/>
        <w:spacing w:before="0"/>
        <w:rPr>
          <w:rFonts w:ascii="Times New Roman" w:hAnsi="Times New Roman" w:cs="Times New Roman"/>
          <w:sz w:val="24"/>
          <w:szCs w:val="24"/>
        </w:rPr>
      </w:pPr>
    </w:p>
    <w:p w14:paraId="21309E34" w14:textId="77777777" w:rsidR="00D91945" w:rsidRPr="00D93C05" w:rsidRDefault="00D91945" w:rsidP="00D91945">
      <w:pPr>
        <w:pStyle w:val="Heading2"/>
        <w:spacing w:before="0"/>
        <w:rPr>
          <w:rFonts w:ascii="Times New Roman" w:hAnsi="Times New Roman" w:cs="Times New Roman"/>
          <w:sz w:val="24"/>
          <w:szCs w:val="24"/>
        </w:rPr>
      </w:pPr>
      <w:r w:rsidRPr="00D93C05">
        <w:rPr>
          <w:rFonts w:ascii="Times New Roman" w:hAnsi="Times New Roman" w:cs="Times New Roman"/>
          <w:sz w:val="24"/>
          <w:szCs w:val="24"/>
        </w:rPr>
        <w:t>The Coding Cycle</w:t>
      </w:r>
    </w:p>
    <w:p w14:paraId="6131FE5D"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After we have made some decisions on how to approach the coding, we can begin the coding cycle. The </w:t>
      </w:r>
      <w:r w:rsidRPr="00D93C05">
        <w:rPr>
          <w:rFonts w:ascii="Times New Roman" w:eastAsia="Times New Roman" w:hAnsi="Times New Roman" w:cs="Times New Roman"/>
          <w:b/>
          <w:bCs/>
        </w:rPr>
        <w:t>coding cycle</w:t>
      </w:r>
      <w:r w:rsidRPr="00D93C05">
        <w:rPr>
          <w:rFonts w:ascii="Times New Roman" w:eastAsia="Times New Roman" w:hAnsi="Times New Roman" w:cs="Times New Roman"/>
        </w:rPr>
        <w:t xml:space="preserve"> is a repeating cycle of three phases: the coding phase, writing memos phase, and reviewing/revising/refining codes phase.  </w:t>
      </w:r>
    </w:p>
    <w:p w14:paraId="55F82EF1"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(image 1 goes here)</w:t>
      </w:r>
    </w:p>
    <w:p w14:paraId="2D2DC8BD"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In the coding phase, the researcher will start to assign codes to the text based on their research question and their other preparation decisions (i.e. inductive vs. deductive research, coding families, efficiency). After a researcher codes a section of text, the researcher writes a </w:t>
      </w:r>
      <w:r w:rsidRPr="00D93C05">
        <w:rPr>
          <w:rFonts w:ascii="Times New Roman" w:eastAsia="Times New Roman" w:hAnsi="Times New Roman" w:cs="Times New Roman"/>
          <w:b/>
          <w:bCs/>
        </w:rPr>
        <w:lastRenderedPageBreak/>
        <w:t>memo</w:t>
      </w:r>
      <w:r w:rsidRPr="00D93C05">
        <w:rPr>
          <w:rFonts w:ascii="Times New Roman" w:eastAsia="Times New Roman" w:hAnsi="Times New Roman" w:cs="Times New Roman"/>
        </w:rPr>
        <w:t xml:space="preserve">—a short journal entry to document processes, important research notes, and possible theories. After writing their memos, the researcher will review their codes, both old and new, and decide if there should be any revisions to the codes.  </w:t>
      </w:r>
    </w:p>
    <w:p w14:paraId="507AD7CC"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As an example of this entire </w:t>
      </w:r>
      <w:proofErr w:type="gramStart"/>
      <w:r w:rsidRPr="00D93C05">
        <w:rPr>
          <w:rFonts w:ascii="Times New Roman" w:eastAsia="Times New Roman" w:hAnsi="Times New Roman" w:cs="Times New Roman"/>
        </w:rPr>
        <w:t>process, and</w:t>
      </w:r>
      <w:proofErr w:type="gramEnd"/>
      <w:r w:rsidRPr="00D93C05">
        <w:rPr>
          <w:rFonts w:ascii="Times New Roman" w:eastAsia="Times New Roman" w:hAnsi="Times New Roman" w:cs="Times New Roman"/>
        </w:rPr>
        <w:t xml:space="preserve"> using the S</w:t>
      </w:r>
      <w:r w:rsidRPr="00D93C05">
        <w:rPr>
          <w:rFonts w:ascii="Times New Roman" w:eastAsia="Times New Roman" w:hAnsi="Times New Roman" w:cs="Times New Roman"/>
          <w:i/>
        </w:rPr>
        <w:t>oundCloud</w:t>
      </w:r>
      <w:r w:rsidRPr="00D93C05">
        <w:rPr>
          <w:rFonts w:ascii="Times New Roman" w:eastAsia="Times New Roman" w:hAnsi="Times New Roman" w:cs="Times New Roman"/>
        </w:rPr>
        <w:t xml:space="preserve"> interview we used previously in this chapter as an example, we can look at each phase of the cycle in more detail.  As our preparation, we will be using the data to answer the question “</w:t>
      </w:r>
      <w:r w:rsidRPr="00D93C05">
        <w:rPr>
          <w:rFonts w:ascii="Times New Roman" w:eastAsia="Times New Roman" w:hAnsi="Times New Roman" w:cs="Times New Roman"/>
          <w:i/>
          <w:iCs/>
        </w:rPr>
        <w:t>How are Technology and Equity related within the Music Industry?</w:t>
      </w:r>
      <w:r w:rsidRPr="00D93C05">
        <w:rPr>
          <w:rFonts w:ascii="Times New Roman" w:eastAsia="Times New Roman" w:hAnsi="Times New Roman" w:cs="Times New Roman"/>
        </w:rPr>
        <w:t xml:space="preserve">” We will use a deductive research approach and apply open-coding processes with no priori codes. We have selected the following coding families as a guide: Settings Codes, Definition of Situations Codes, Perspectives Held </w:t>
      </w:r>
      <w:proofErr w:type="gramStart"/>
      <w:r w:rsidRPr="00D93C05">
        <w:rPr>
          <w:rFonts w:ascii="Times New Roman" w:eastAsia="Times New Roman" w:hAnsi="Times New Roman" w:cs="Times New Roman"/>
        </w:rPr>
        <w:t>By</w:t>
      </w:r>
      <w:proofErr w:type="gramEnd"/>
      <w:r w:rsidRPr="00D93C05">
        <w:rPr>
          <w:rFonts w:ascii="Times New Roman" w:eastAsia="Times New Roman" w:hAnsi="Times New Roman" w:cs="Times New Roman"/>
        </w:rPr>
        <w:t xml:space="preserve"> Subjects Codes, Activity Codes, Strategy Codes, and Relationship Codes. The codes will be documented using Microsoft Word’s comment feature.</w:t>
      </w:r>
    </w:p>
    <w:p w14:paraId="13B57E7C" w14:textId="77777777" w:rsidR="00D91945" w:rsidRPr="00D93C05" w:rsidRDefault="00D91945" w:rsidP="00D91945">
      <w:pPr>
        <w:pStyle w:val="Heading3"/>
        <w:spacing w:before="0"/>
        <w:rPr>
          <w:rFonts w:ascii="Times New Roman" w:hAnsi="Times New Roman" w:cs="Times New Roman"/>
          <w:b/>
          <w:bCs/>
        </w:rPr>
      </w:pPr>
    </w:p>
    <w:p w14:paraId="34C21890" w14:textId="77777777" w:rsidR="00D91945" w:rsidRPr="00D93C05" w:rsidRDefault="00D91945" w:rsidP="00D91945">
      <w:pPr>
        <w:pStyle w:val="Heading3"/>
        <w:spacing w:before="0"/>
        <w:rPr>
          <w:rFonts w:ascii="Times New Roman" w:hAnsi="Times New Roman" w:cs="Times New Roman"/>
          <w:b/>
          <w:bCs/>
        </w:rPr>
      </w:pPr>
      <w:r w:rsidRPr="00D93C05">
        <w:rPr>
          <w:rFonts w:ascii="Times New Roman" w:hAnsi="Times New Roman" w:cs="Times New Roman"/>
          <w:b/>
          <w:bCs/>
        </w:rPr>
        <w:t>Coding Phase</w:t>
      </w:r>
    </w:p>
    <w:p w14:paraId="15352B06" w14:textId="77777777" w:rsidR="00D91945" w:rsidRPr="00D93C05" w:rsidRDefault="00D91945" w:rsidP="00D91945">
      <w:pPr>
        <w:pStyle w:val="Heading3"/>
        <w:spacing w:before="0"/>
        <w:ind w:firstLine="720"/>
        <w:rPr>
          <w:rFonts w:ascii="Times New Roman" w:hAnsi="Times New Roman" w:cs="Times New Roman"/>
        </w:rPr>
      </w:pPr>
      <w:r w:rsidRPr="00D93C05">
        <w:rPr>
          <w:rFonts w:ascii="Times New Roman" w:hAnsi="Times New Roman" w:cs="Times New Roman"/>
        </w:rPr>
        <w:t>As previously described, the interview text shown here was assigned codes using the comment feature on Microsoft Word during the reading of the text.  Since some text applied to more than one code, the same section of text was highlighted several times and assigned a different code each time.  At the end of the coding period, the text looked like this:</w:t>
      </w:r>
    </w:p>
    <w:p w14:paraId="33C04F6F" w14:textId="77777777" w:rsidR="00D91945" w:rsidRPr="00D93C05" w:rsidRDefault="00D91945" w:rsidP="00D91945">
      <w:pPr>
        <w:rPr>
          <w:rFonts w:ascii="Times New Roman" w:hAnsi="Times New Roman" w:cs="Times New Roman"/>
        </w:rPr>
      </w:pPr>
    </w:p>
    <w:p w14:paraId="73B42F63" w14:textId="77777777" w:rsidR="00D91945" w:rsidRPr="00D93C05" w:rsidRDefault="00D91945" w:rsidP="00D91945">
      <w:pPr>
        <w:jc w:val="center"/>
        <w:rPr>
          <w:rFonts w:ascii="Times New Roman" w:hAnsi="Times New Roman" w:cs="Times New Roman"/>
        </w:rPr>
      </w:pPr>
      <w:r w:rsidRPr="00D93C05">
        <w:rPr>
          <w:rFonts w:ascii="Times New Roman" w:hAnsi="Times New Roman" w:cs="Times New Roman"/>
        </w:rPr>
        <w:t>(image 2 goes here)</w:t>
      </w:r>
    </w:p>
    <w:p w14:paraId="628ACF8A" w14:textId="77777777" w:rsidR="00D91945" w:rsidRPr="00D93C05" w:rsidRDefault="00D91945" w:rsidP="00D91945">
      <w:pPr>
        <w:ind w:firstLine="720"/>
        <w:rPr>
          <w:rFonts w:ascii="Times New Roman" w:eastAsia="Times New Roman" w:hAnsi="Times New Roman" w:cs="Times New Roman"/>
        </w:rPr>
      </w:pPr>
    </w:p>
    <w:p w14:paraId="0248D49A" w14:textId="77777777" w:rsidR="00D91945" w:rsidRPr="00D93C05" w:rsidRDefault="00D91945" w:rsidP="00D91945">
      <w:pPr>
        <w:pStyle w:val="Heading3"/>
        <w:spacing w:before="0"/>
        <w:rPr>
          <w:rFonts w:ascii="Times New Roman" w:hAnsi="Times New Roman" w:cs="Times New Roman"/>
        </w:rPr>
      </w:pPr>
      <w:r w:rsidRPr="00D93C05">
        <w:rPr>
          <w:rFonts w:ascii="Times New Roman" w:hAnsi="Times New Roman" w:cs="Times New Roman"/>
        </w:rPr>
        <w:t>Memo Writing Phase</w:t>
      </w:r>
    </w:p>
    <w:p w14:paraId="3F10C7E6"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 xml:space="preserve">When the researcher stops coding, they must document their experience in a memo.  The memos are short journal entries that document the researcher’s interaction with the data. Since the memos are written for the researcher's personal use, formal writing (e.g. full sentences, punctuation, paragraphs) are not required.  Instead, the researcher will use simple bullets or short phrases to record the experiences quickly.  </w:t>
      </w:r>
    </w:p>
    <w:p w14:paraId="01D1A5FE"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rPr>
        <w:t>In our example, we used the benefits of technology to convert the highlighted text with the comments into a table and sort the codes alphabetically.  (insert resource 2 here).  Most of the codes seemed to be within the Relationship Code Family (i.e. creator, listener, fan, community).  A note was made that the researcher wondered if a larger community is related to more opportunities which could result in more equity.  (insert textbox 2 here)</w:t>
      </w:r>
    </w:p>
    <w:p w14:paraId="62D9A6D0" w14:textId="77777777" w:rsidR="00D91945" w:rsidRPr="00D93C05" w:rsidRDefault="00D91945" w:rsidP="00D91945">
      <w:pPr>
        <w:ind w:firstLine="720"/>
        <w:rPr>
          <w:rFonts w:ascii="Times New Roman" w:eastAsia="Times New Roman" w:hAnsi="Times New Roman" w:cs="Times New Roman"/>
        </w:rPr>
      </w:pPr>
      <w:r w:rsidRPr="00D93C05">
        <w:rPr>
          <w:rFonts w:ascii="Times New Roman" w:eastAsia="Times New Roman" w:hAnsi="Times New Roman" w:cs="Times New Roman"/>
          <w:noProof/>
        </w:rPr>
        <w:object w:dxaOrig="9360" w:dyaOrig="12220" w14:anchorId="0CD78F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75pt;height:611.25pt;mso-width-percent:0;mso-height-percent:0;mso-width-percent:0;mso-height-percent:0" o:ole="">
            <v:imagedata r:id="rId80" o:title=""/>
          </v:shape>
          <o:OLEObject Type="Embed" ProgID="Word.Document.12" ShapeID="_x0000_i1025" DrawAspect="Content" ObjectID="_1653086508" r:id="rId81">
            <o:FieldCodes>\s</o:FieldCodes>
          </o:OLEObject>
        </w:object>
      </w:r>
    </w:p>
    <w:p w14:paraId="52E1537A" w14:textId="77777777" w:rsidR="00D91945" w:rsidRPr="00D93C05" w:rsidRDefault="00D91945" w:rsidP="00D91945">
      <w:pPr>
        <w:ind w:firstLine="720"/>
        <w:rPr>
          <w:rFonts w:ascii="Times New Roman" w:eastAsia="Times New Roman" w:hAnsi="Times New Roman" w:cs="Times New Roman"/>
        </w:rPr>
      </w:pPr>
    </w:p>
    <w:p w14:paraId="294C5EF7" w14:textId="77777777" w:rsidR="00D91945" w:rsidRPr="00D93C05" w:rsidRDefault="00D91945" w:rsidP="00D91945">
      <w:pPr>
        <w:pStyle w:val="Heading3"/>
        <w:spacing w:before="0"/>
        <w:rPr>
          <w:rFonts w:ascii="Times New Roman" w:hAnsi="Times New Roman" w:cs="Times New Roman"/>
        </w:rPr>
      </w:pPr>
      <w:r w:rsidRPr="00D93C05">
        <w:rPr>
          <w:rFonts w:ascii="Times New Roman" w:hAnsi="Times New Roman" w:cs="Times New Roman"/>
        </w:rPr>
        <w:lastRenderedPageBreak/>
        <w:t>Reviewing/Revising/Refining Code Phase</w:t>
      </w:r>
    </w:p>
    <w:p w14:paraId="71E3F5EE" w14:textId="77777777" w:rsidR="00D91945" w:rsidRPr="00D93C05" w:rsidRDefault="00D91945" w:rsidP="00D91945">
      <w:pPr>
        <w:rPr>
          <w:rFonts w:ascii="Times New Roman" w:eastAsia="Times New Roman" w:hAnsi="Times New Roman" w:cs="Times New Roman"/>
          <w:color w:val="222222"/>
          <w:highlight w:val="white"/>
        </w:rPr>
      </w:pPr>
      <w:r w:rsidRPr="00D93C05">
        <w:rPr>
          <w:rFonts w:ascii="Times New Roman" w:eastAsia="Times New Roman" w:hAnsi="Times New Roman" w:cs="Times New Roman"/>
        </w:rPr>
        <w:tab/>
        <w:t>The number of times a code appears does not necessarily imply the code is (or is not) important and it is certainly not the only indicator. In qualitative research, the quality of the final research report will be directly linked to the quality of the codes (</w:t>
      </w:r>
      <w:proofErr w:type="spellStart"/>
      <w:r w:rsidRPr="00D93C05">
        <w:rPr>
          <w:rFonts w:ascii="Times New Roman" w:eastAsia="Times New Roman" w:hAnsi="Times New Roman" w:cs="Times New Roman"/>
          <w:color w:val="222222"/>
          <w:highlight w:val="white"/>
        </w:rPr>
        <w:t>Saldaña</w:t>
      </w:r>
      <w:proofErr w:type="spellEnd"/>
      <w:r w:rsidRPr="00D93C05">
        <w:rPr>
          <w:rFonts w:ascii="Times New Roman" w:eastAsia="Times New Roman" w:hAnsi="Times New Roman" w:cs="Times New Roman"/>
          <w:color w:val="222222"/>
          <w:highlight w:val="white"/>
        </w:rPr>
        <w:t xml:space="preserve">, 2003). While reviewing, revising, and/or refining the codes during the coding cycle, the researcher is making decisions on the importance a </w:t>
      </w:r>
      <w:proofErr w:type="gramStart"/>
      <w:r w:rsidRPr="00D93C05">
        <w:rPr>
          <w:rFonts w:ascii="Times New Roman" w:eastAsia="Times New Roman" w:hAnsi="Times New Roman" w:cs="Times New Roman"/>
          <w:color w:val="222222"/>
          <w:highlight w:val="white"/>
        </w:rPr>
        <w:t>particular code</w:t>
      </w:r>
      <w:proofErr w:type="gramEnd"/>
      <w:r w:rsidRPr="00D93C05">
        <w:rPr>
          <w:rFonts w:ascii="Times New Roman" w:eastAsia="Times New Roman" w:hAnsi="Times New Roman" w:cs="Times New Roman"/>
          <w:color w:val="222222"/>
          <w:highlight w:val="white"/>
        </w:rPr>
        <w:t xml:space="preserve"> may have to their research question.  After the researcher reviews their codes carefully, they may decide to refine their codes by merging two (or more) codes into one code, dividing one code into two (or more) codes, renaming a code, or eliminating a code completely. When a researcher decides to merge, unmerge, rename codes, and/or eliminate codes, a note should be added to the memos. In our example, we added a note to the memo that we decided to merge both the “listener/fan” codes and the “solution/simplify” codes with instructions to only use “Listener” and “Solution” in future coding sessions. </w:t>
      </w:r>
      <w:r w:rsidRPr="00D93C05">
        <w:rPr>
          <w:rFonts w:ascii="Times New Roman" w:eastAsia="Times New Roman" w:hAnsi="Times New Roman" w:cs="Times New Roman"/>
          <w:color w:val="222222"/>
        </w:rPr>
        <w:t xml:space="preserve"> </w:t>
      </w:r>
    </w:p>
    <w:p w14:paraId="515EA13F" w14:textId="77777777" w:rsidR="00D91945" w:rsidRPr="00D93C05" w:rsidRDefault="00D91945" w:rsidP="00D91945">
      <w:pPr>
        <w:ind w:firstLine="720"/>
        <w:rPr>
          <w:rFonts w:ascii="Times New Roman" w:eastAsia="Times New Roman" w:hAnsi="Times New Roman" w:cs="Times New Roman"/>
          <w:color w:val="222222"/>
        </w:rPr>
      </w:pPr>
      <w:r w:rsidRPr="00D93C05">
        <w:rPr>
          <w:rFonts w:ascii="Times New Roman" w:eastAsia="Times New Roman" w:hAnsi="Times New Roman" w:cs="Times New Roman"/>
          <w:color w:val="222222"/>
        </w:rPr>
        <w:t xml:space="preserve">Another good practice in the review/revise/refine phase is to begin to conceptualize the codes. The </w:t>
      </w:r>
      <w:r w:rsidRPr="00D93C05">
        <w:rPr>
          <w:rFonts w:ascii="Times New Roman" w:eastAsia="Times New Roman" w:hAnsi="Times New Roman" w:cs="Times New Roman"/>
          <w:b/>
          <w:bCs/>
          <w:color w:val="222222"/>
        </w:rPr>
        <w:t>conceptualization</w:t>
      </w:r>
      <w:r w:rsidRPr="00D93C05">
        <w:rPr>
          <w:rFonts w:ascii="Times New Roman" w:eastAsia="Times New Roman" w:hAnsi="Times New Roman" w:cs="Times New Roman"/>
          <w:color w:val="222222"/>
        </w:rPr>
        <w:t xml:space="preserve"> of a code is creating a definition of the code in specific, concrete terms (Saunders et al, 2018). Future use of a conceptualized code is more intentional because the characteristics of the code are clear and, thus, codes are more easily identified in raw data.  Any code conceptualizations or working definitions should always be written in the memo. In our example, code definitions were written in italics next to the most frequently used codes. (insert textbox 3 here)</w:t>
      </w:r>
    </w:p>
    <w:p w14:paraId="365CDC68" w14:textId="77777777" w:rsidR="00D91945" w:rsidRPr="00D93C05" w:rsidRDefault="00D91945" w:rsidP="00D91945">
      <w:pPr>
        <w:rPr>
          <w:rFonts w:ascii="Times New Roman" w:eastAsia="Times New Roman" w:hAnsi="Times New Roman" w:cs="Times New Roman"/>
        </w:rPr>
      </w:pPr>
      <w:r w:rsidRPr="00D93C05">
        <w:rPr>
          <w:rFonts w:ascii="Times New Roman" w:eastAsia="Times New Roman" w:hAnsi="Times New Roman" w:cs="Times New Roman"/>
        </w:rPr>
        <w:tab/>
        <w:t xml:space="preserve">At this point, the researcher has completed the full cycle one time.  The researcher will start the cycle again and continue the cycle with new sections of text. Each time a new section of text is coded, the researcher will follow the same three phases – coding, writing a memo to document the progress, and review/revise/refine their codes.  </w:t>
      </w:r>
    </w:p>
    <w:p w14:paraId="2380588D" w14:textId="77777777" w:rsidR="00D91945" w:rsidRPr="00D93C05" w:rsidRDefault="00D91945" w:rsidP="00D91945">
      <w:pPr>
        <w:pStyle w:val="Heading3"/>
        <w:spacing w:before="0"/>
        <w:rPr>
          <w:rFonts w:ascii="Times New Roman" w:hAnsi="Times New Roman" w:cs="Times New Roman"/>
        </w:rPr>
      </w:pPr>
    </w:p>
    <w:p w14:paraId="0DD1D9BD" w14:textId="77777777" w:rsidR="00D91945" w:rsidRPr="00D93C05" w:rsidRDefault="00D91945" w:rsidP="00D91945">
      <w:pPr>
        <w:rPr>
          <w:rFonts w:ascii="Times New Roman" w:hAnsi="Times New Roman" w:cs="Times New Roman"/>
        </w:rPr>
      </w:pPr>
    </w:p>
    <w:p w14:paraId="469AEA32" w14:textId="77777777" w:rsidR="00D91945" w:rsidRPr="00D93C05" w:rsidRDefault="00D91945" w:rsidP="00D91945">
      <w:pPr>
        <w:pStyle w:val="Heading3"/>
        <w:spacing w:before="0"/>
        <w:rPr>
          <w:rFonts w:ascii="Times New Roman" w:hAnsi="Times New Roman" w:cs="Times New Roman"/>
        </w:rPr>
      </w:pPr>
      <w:r w:rsidRPr="00D93C05">
        <w:rPr>
          <w:rFonts w:ascii="Times New Roman" w:hAnsi="Times New Roman" w:cs="Times New Roman"/>
        </w:rPr>
        <w:t>Saturation</w:t>
      </w:r>
    </w:p>
    <w:p w14:paraId="40176564" w14:textId="77777777" w:rsidR="00D91945" w:rsidRPr="00D93C05" w:rsidRDefault="00D91945" w:rsidP="00D91945">
      <w:pPr>
        <w:rPr>
          <w:rFonts w:ascii="Times New Roman" w:eastAsia="Times New Roman" w:hAnsi="Times New Roman" w:cs="Times New Roman"/>
        </w:rPr>
      </w:pPr>
      <w:r w:rsidRPr="00D93C05">
        <w:rPr>
          <w:rFonts w:ascii="Times New Roman" w:eastAsia="Times New Roman" w:hAnsi="Times New Roman" w:cs="Times New Roman"/>
        </w:rPr>
        <w:tab/>
        <w:t xml:space="preserve">The coding cycle continues over and over until the researcher believes saturation has occurred. </w:t>
      </w:r>
      <w:r w:rsidRPr="00D93C05">
        <w:rPr>
          <w:rFonts w:ascii="Times New Roman" w:eastAsia="Times New Roman" w:hAnsi="Times New Roman" w:cs="Times New Roman"/>
          <w:b/>
          <w:bCs/>
        </w:rPr>
        <w:t xml:space="preserve">Saturation </w:t>
      </w:r>
      <w:r w:rsidRPr="00D93C05">
        <w:rPr>
          <w:rFonts w:ascii="Times New Roman" w:eastAsia="Times New Roman" w:hAnsi="Times New Roman" w:cs="Times New Roman"/>
        </w:rPr>
        <w:t xml:space="preserve">is the point in the research study where no new information seems to emerge from the coding cycle and there appears to be enough information to answer the research question (Strauss &amp; Corbin, 1997).  There is no one event or threshold that can alert a researcher when saturation has occurred. When interviews seem predictable, the same codes are being used over and over, and possible answers to the research question seem reasonable, the researcher should decide if further iterations of the cycle will result in any valuable insights or the coding cycle should end. </w:t>
      </w:r>
    </w:p>
    <w:p w14:paraId="5C999660" w14:textId="77777777" w:rsidR="00D91945" w:rsidRPr="00D93C05" w:rsidRDefault="00D91945" w:rsidP="00D91945">
      <w:pPr>
        <w:pStyle w:val="Heading2"/>
        <w:spacing w:before="0"/>
        <w:rPr>
          <w:rFonts w:ascii="Times New Roman" w:hAnsi="Times New Roman" w:cs="Times New Roman"/>
          <w:sz w:val="24"/>
          <w:szCs w:val="24"/>
        </w:rPr>
      </w:pPr>
    </w:p>
    <w:p w14:paraId="0B2AD40B" w14:textId="77777777" w:rsidR="00D91945" w:rsidRPr="00D93C05" w:rsidRDefault="00D91945" w:rsidP="00D91945">
      <w:pPr>
        <w:pStyle w:val="Heading2"/>
        <w:spacing w:before="0"/>
        <w:rPr>
          <w:rFonts w:ascii="Times New Roman" w:hAnsi="Times New Roman" w:cs="Times New Roman"/>
          <w:sz w:val="24"/>
          <w:szCs w:val="24"/>
        </w:rPr>
      </w:pPr>
      <w:r w:rsidRPr="00D93C05">
        <w:rPr>
          <w:rFonts w:ascii="Times New Roman" w:hAnsi="Times New Roman" w:cs="Times New Roman"/>
          <w:sz w:val="24"/>
          <w:szCs w:val="24"/>
        </w:rPr>
        <w:t>Chapter Summary</w:t>
      </w:r>
    </w:p>
    <w:p w14:paraId="05156472" w14:textId="77777777" w:rsidR="00D91945" w:rsidRPr="00D93C05" w:rsidRDefault="00D91945" w:rsidP="00D91945">
      <w:pPr>
        <w:rPr>
          <w:rFonts w:ascii="Times New Roman" w:eastAsia="Times New Roman" w:hAnsi="Times New Roman" w:cs="Times New Roman"/>
        </w:rPr>
      </w:pPr>
      <w:r w:rsidRPr="00D93C05">
        <w:rPr>
          <w:rFonts w:ascii="Times New Roman" w:eastAsia="Times New Roman" w:hAnsi="Times New Roman" w:cs="Times New Roman"/>
        </w:rPr>
        <w:tab/>
        <w:t>In this chapter, we learned that the coding cycle is the link between raw data and the theories that will answer the research question. We engaged in a mock coding cycle example to experience how researcher begins to organize their raw data, record their initial reactions to the data, and documents emergent ideas. The key take-aways from the chapter are:</w:t>
      </w:r>
    </w:p>
    <w:p w14:paraId="20BB109B" w14:textId="77777777" w:rsidR="00D91945" w:rsidRPr="00D93C05" w:rsidRDefault="00D91945" w:rsidP="00C23CDB">
      <w:pPr>
        <w:numPr>
          <w:ilvl w:val="0"/>
          <w:numId w:val="42"/>
        </w:numPr>
        <w:rPr>
          <w:rFonts w:ascii="Times New Roman" w:eastAsia="Times New Roman" w:hAnsi="Times New Roman" w:cs="Times New Roman"/>
        </w:rPr>
      </w:pPr>
      <w:r w:rsidRPr="00D93C05">
        <w:rPr>
          <w:rFonts w:ascii="Times New Roman" w:eastAsia="Times New Roman" w:hAnsi="Times New Roman" w:cs="Times New Roman"/>
        </w:rPr>
        <w:t xml:space="preserve">Coding is the organizational process where researchers assign codes to raw qualitative data in order to answer their research question. </w:t>
      </w:r>
    </w:p>
    <w:p w14:paraId="4378BDB6" w14:textId="77777777" w:rsidR="00D91945" w:rsidRPr="00D93C05" w:rsidRDefault="00D91945" w:rsidP="00C23CDB">
      <w:pPr>
        <w:numPr>
          <w:ilvl w:val="0"/>
          <w:numId w:val="42"/>
        </w:numPr>
        <w:rPr>
          <w:rFonts w:ascii="Times New Roman" w:eastAsia="Times New Roman" w:hAnsi="Times New Roman" w:cs="Times New Roman"/>
        </w:rPr>
      </w:pPr>
      <w:r w:rsidRPr="00D93C05">
        <w:rPr>
          <w:rFonts w:ascii="Times New Roman" w:eastAsia="Times New Roman" w:hAnsi="Times New Roman" w:cs="Times New Roman"/>
        </w:rPr>
        <w:t xml:space="preserve">Coding is a reactive and iterative process between the data and the researcher. </w:t>
      </w:r>
    </w:p>
    <w:p w14:paraId="0A12B9D3" w14:textId="77777777" w:rsidR="00D91945" w:rsidRPr="00D93C05" w:rsidRDefault="00D91945" w:rsidP="00C23CDB">
      <w:pPr>
        <w:numPr>
          <w:ilvl w:val="0"/>
          <w:numId w:val="42"/>
        </w:numPr>
        <w:rPr>
          <w:rFonts w:ascii="Times New Roman" w:eastAsia="Times New Roman" w:hAnsi="Times New Roman" w:cs="Times New Roman"/>
        </w:rPr>
      </w:pPr>
      <w:r w:rsidRPr="00D93C05">
        <w:rPr>
          <w:rFonts w:ascii="Times New Roman" w:eastAsia="Times New Roman" w:hAnsi="Times New Roman" w:cs="Times New Roman"/>
        </w:rPr>
        <w:t xml:space="preserve">The research question is the principal guide in preparing to code and selecting codes. </w:t>
      </w:r>
    </w:p>
    <w:p w14:paraId="0B6F8ACE" w14:textId="77777777" w:rsidR="00D91945" w:rsidRPr="00D93C05" w:rsidRDefault="00D91945" w:rsidP="00C23CDB">
      <w:pPr>
        <w:numPr>
          <w:ilvl w:val="0"/>
          <w:numId w:val="42"/>
        </w:numPr>
        <w:rPr>
          <w:rFonts w:ascii="Times New Roman" w:eastAsia="Times New Roman" w:hAnsi="Times New Roman" w:cs="Times New Roman"/>
        </w:rPr>
      </w:pPr>
      <w:r w:rsidRPr="00D93C05">
        <w:rPr>
          <w:rFonts w:ascii="Times New Roman" w:eastAsia="Times New Roman" w:hAnsi="Times New Roman" w:cs="Times New Roman"/>
        </w:rPr>
        <w:t xml:space="preserve">Coding can be used for either deductive research or inductive research studies.  However, it is more commonly used for inductive research studies. </w:t>
      </w:r>
    </w:p>
    <w:p w14:paraId="512CA853" w14:textId="77777777" w:rsidR="00D91945" w:rsidRPr="00D93C05" w:rsidRDefault="00D91945" w:rsidP="00C23CDB">
      <w:pPr>
        <w:numPr>
          <w:ilvl w:val="0"/>
          <w:numId w:val="42"/>
        </w:numPr>
        <w:rPr>
          <w:rFonts w:ascii="Times New Roman" w:eastAsia="Times New Roman" w:hAnsi="Times New Roman" w:cs="Times New Roman"/>
        </w:rPr>
      </w:pPr>
      <w:r w:rsidRPr="00D93C05">
        <w:rPr>
          <w:rFonts w:ascii="Times New Roman" w:eastAsia="Times New Roman" w:hAnsi="Times New Roman" w:cs="Times New Roman"/>
        </w:rPr>
        <w:lastRenderedPageBreak/>
        <w:t xml:space="preserve">The coding cycle is comprised of coding, memo writing, and review/revising/refining codes. </w:t>
      </w:r>
    </w:p>
    <w:p w14:paraId="3942476D" w14:textId="77777777" w:rsidR="00D91945" w:rsidRPr="00D93C05" w:rsidRDefault="00D91945" w:rsidP="00C23CDB">
      <w:pPr>
        <w:numPr>
          <w:ilvl w:val="0"/>
          <w:numId w:val="42"/>
        </w:numPr>
        <w:rPr>
          <w:rFonts w:ascii="Times New Roman" w:eastAsia="Times New Roman" w:hAnsi="Times New Roman" w:cs="Times New Roman"/>
        </w:rPr>
      </w:pPr>
      <w:r w:rsidRPr="00D93C05">
        <w:rPr>
          <w:rFonts w:ascii="Times New Roman" w:eastAsia="Times New Roman" w:hAnsi="Times New Roman" w:cs="Times New Roman"/>
        </w:rPr>
        <w:t xml:space="preserve">The coding cycle ends when no new information appears to emerge from the raw data. This phenomenon is referred to as saturation. </w:t>
      </w:r>
    </w:p>
    <w:p w14:paraId="3EBB012E" w14:textId="77777777" w:rsidR="00D91945" w:rsidRPr="00D93C05" w:rsidRDefault="00D91945" w:rsidP="00D91945">
      <w:pPr>
        <w:pStyle w:val="Heading2"/>
        <w:spacing w:before="0"/>
        <w:rPr>
          <w:rFonts w:ascii="Times New Roman" w:hAnsi="Times New Roman" w:cs="Times New Roman"/>
          <w:sz w:val="24"/>
          <w:szCs w:val="24"/>
        </w:rPr>
      </w:pPr>
    </w:p>
    <w:p w14:paraId="272920B9" w14:textId="77777777" w:rsidR="00D91945" w:rsidRPr="00D93C05" w:rsidRDefault="00D91945" w:rsidP="00D91945">
      <w:pPr>
        <w:pStyle w:val="Heading2"/>
        <w:spacing w:before="0"/>
        <w:rPr>
          <w:rFonts w:ascii="Times New Roman" w:hAnsi="Times New Roman" w:cs="Times New Roman"/>
          <w:sz w:val="24"/>
          <w:szCs w:val="24"/>
        </w:rPr>
      </w:pPr>
      <w:r w:rsidRPr="00D93C05">
        <w:rPr>
          <w:rFonts w:ascii="Times New Roman" w:hAnsi="Times New Roman" w:cs="Times New Roman"/>
          <w:sz w:val="24"/>
          <w:szCs w:val="24"/>
        </w:rPr>
        <w:t>Questions</w:t>
      </w:r>
    </w:p>
    <w:p w14:paraId="6FD918F8" w14:textId="77777777" w:rsidR="00D91945" w:rsidRPr="00D93C05" w:rsidRDefault="00D91945" w:rsidP="00C23CDB">
      <w:pPr>
        <w:numPr>
          <w:ilvl w:val="0"/>
          <w:numId w:val="43"/>
        </w:numPr>
        <w:rPr>
          <w:rFonts w:ascii="Times New Roman" w:eastAsia="Times New Roman" w:hAnsi="Times New Roman" w:cs="Times New Roman"/>
        </w:rPr>
      </w:pPr>
      <w:r w:rsidRPr="00D93C05">
        <w:rPr>
          <w:rFonts w:ascii="Times New Roman" w:eastAsia="Times New Roman" w:hAnsi="Times New Roman" w:cs="Times New Roman"/>
        </w:rPr>
        <w:t>How is coding data different than summarizing data?</w:t>
      </w:r>
    </w:p>
    <w:p w14:paraId="769FD209" w14:textId="77777777" w:rsidR="00D91945" w:rsidRPr="00D93C05" w:rsidRDefault="00D91945" w:rsidP="00C23CDB">
      <w:pPr>
        <w:numPr>
          <w:ilvl w:val="0"/>
          <w:numId w:val="43"/>
        </w:numPr>
        <w:rPr>
          <w:rFonts w:ascii="Times New Roman" w:eastAsia="Times New Roman" w:hAnsi="Times New Roman" w:cs="Times New Roman"/>
        </w:rPr>
      </w:pPr>
      <w:r w:rsidRPr="00D93C05">
        <w:rPr>
          <w:rFonts w:ascii="Times New Roman" w:eastAsia="Times New Roman" w:hAnsi="Times New Roman" w:cs="Times New Roman"/>
        </w:rPr>
        <w:t>How are the research question and the coding process related?</w:t>
      </w:r>
    </w:p>
    <w:p w14:paraId="6C498B7E" w14:textId="77777777" w:rsidR="00D91945" w:rsidRPr="00D93C05" w:rsidRDefault="00D91945" w:rsidP="00C23CDB">
      <w:pPr>
        <w:numPr>
          <w:ilvl w:val="0"/>
          <w:numId w:val="43"/>
        </w:numPr>
        <w:rPr>
          <w:rFonts w:ascii="Times New Roman" w:eastAsia="Times New Roman" w:hAnsi="Times New Roman" w:cs="Times New Roman"/>
        </w:rPr>
      </w:pPr>
      <w:r w:rsidRPr="00D93C05">
        <w:rPr>
          <w:rFonts w:ascii="Times New Roman" w:eastAsia="Times New Roman" w:hAnsi="Times New Roman" w:cs="Times New Roman"/>
        </w:rPr>
        <w:t>“Coding is reactive and iterative.”  In your own words, explain the meaning of this statement.</w:t>
      </w:r>
    </w:p>
    <w:p w14:paraId="5C795416" w14:textId="77777777" w:rsidR="00D91945" w:rsidRPr="00D93C05" w:rsidRDefault="00D91945" w:rsidP="00C23CDB">
      <w:pPr>
        <w:numPr>
          <w:ilvl w:val="0"/>
          <w:numId w:val="43"/>
        </w:numPr>
        <w:rPr>
          <w:rFonts w:ascii="Times New Roman" w:eastAsia="Times New Roman" w:hAnsi="Times New Roman" w:cs="Times New Roman"/>
        </w:rPr>
      </w:pPr>
      <w:r w:rsidRPr="00D93C05">
        <w:rPr>
          <w:rFonts w:ascii="Times New Roman" w:eastAsia="Times New Roman" w:hAnsi="Times New Roman" w:cs="Times New Roman"/>
        </w:rPr>
        <w:t xml:space="preserve">What are the advantages of writing memos at the end of each coding phase? </w:t>
      </w:r>
    </w:p>
    <w:p w14:paraId="359BBED0" w14:textId="77777777" w:rsidR="00D91945" w:rsidRPr="00D93C05" w:rsidRDefault="00D91945" w:rsidP="00C23CDB">
      <w:pPr>
        <w:numPr>
          <w:ilvl w:val="0"/>
          <w:numId w:val="43"/>
        </w:numPr>
        <w:rPr>
          <w:rFonts w:ascii="Times New Roman" w:eastAsia="Times New Roman" w:hAnsi="Times New Roman" w:cs="Times New Roman"/>
        </w:rPr>
      </w:pPr>
      <w:r w:rsidRPr="00D93C05">
        <w:rPr>
          <w:rFonts w:ascii="Times New Roman" w:eastAsia="Times New Roman" w:hAnsi="Times New Roman" w:cs="Times New Roman"/>
        </w:rPr>
        <w:t xml:space="preserve">What are some clues that may suggest saturation has occurred? Give an example. </w:t>
      </w:r>
    </w:p>
    <w:p w14:paraId="32F3FDD7" w14:textId="77777777" w:rsidR="00D91945" w:rsidRPr="00D93C05" w:rsidRDefault="00D91945" w:rsidP="00C23CDB">
      <w:pPr>
        <w:numPr>
          <w:ilvl w:val="0"/>
          <w:numId w:val="43"/>
        </w:numPr>
        <w:rPr>
          <w:rFonts w:ascii="Times New Roman" w:eastAsia="Times New Roman" w:hAnsi="Times New Roman" w:cs="Times New Roman"/>
        </w:rPr>
      </w:pPr>
      <w:r w:rsidRPr="00D93C05">
        <w:rPr>
          <w:rFonts w:ascii="Times New Roman" w:eastAsia="Times New Roman" w:hAnsi="Times New Roman" w:cs="Times New Roman"/>
        </w:rPr>
        <w:t xml:space="preserve">In your opinion, how does coding help the researcher understand their raw data? </w:t>
      </w:r>
    </w:p>
    <w:p w14:paraId="555DF77F" w14:textId="77777777" w:rsidR="00D91945" w:rsidRPr="00D93C05" w:rsidRDefault="00D91945" w:rsidP="00D91945">
      <w:pPr>
        <w:pStyle w:val="Heading2"/>
        <w:spacing w:before="0"/>
        <w:rPr>
          <w:rFonts w:ascii="Times New Roman" w:hAnsi="Times New Roman" w:cs="Times New Roman"/>
          <w:sz w:val="24"/>
          <w:szCs w:val="24"/>
        </w:rPr>
      </w:pPr>
    </w:p>
    <w:p w14:paraId="10ECAD8A" w14:textId="77777777" w:rsidR="00D91945" w:rsidRPr="00D93C05" w:rsidRDefault="00D91945" w:rsidP="00D91945">
      <w:pPr>
        <w:pStyle w:val="Heading2"/>
        <w:spacing w:before="0"/>
        <w:rPr>
          <w:rFonts w:ascii="Times New Roman" w:hAnsi="Times New Roman" w:cs="Times New Roman"/>
          <w:sz w:val="24"/>
          <w:szCs w:val="24"/>
        </w:rPr>
      </w:pPr>
      <w:r w:rsidRPr="00D93C05">
        <w:rPr>
          <w:rFonts w:ascii="Times New Roman" w:hAnsi="Times New Roman" w:cs="Times New Roman"/>
          <w:sz w:val="24"/>
          <w:szCs w:val="24"/>
        </w:rPr>
        <w:t>Key Terms</w:t>
      </w:r>
    </w:p>
    <w:p w14:paraId="62CA37E9"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Code - A word or short phrase that assigns an attribute (e.g. translation, feeling, category, summary, idea) to a section of text.</w:t>
      </w:r>
    </w:p>
    <w:p w14:paraId="02CFC901"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Coding - The act of assigning a code to a section of raw data text for interpretive purposes to gain meaning.</w:t>
      </w:r>
    </w:p>
    <w:p w14:paraId="785ED94B"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Coding Cycle - A repeating cycle in which the researcher organizes their data.  The coding cycle is comprised of three phases: the coding phase, writing memos phase, and reviewing/revising/refining codes phase</w:t>
      </w:r>
    </w:p>
    <w:p w14:paraId="69C2F959"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 xml:space="preserve">Coding Families - General categories that suggest different ways in which coding can be accomplished.  </w:t>
      </w:r>
    </w:p>
    <w:p w14:paraId="77E4B9D9"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 xml:space="preserve">Conceptualization - Descriptions or definitions of abstract ideas is specific, concrete terms. Deductive Research - A research approach conducted to further an already existing theory. (The data is used to prove an existing theory). </w:t>
      </w:r>
    </w:p>
    <w:p w14:paraId="1CBAB6F7"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 xml:space="preserve">Inductive Research - A research approach conducted to develop a theory based on what exists in the data. (The theory emerges from the data).  </w:t>
      </w:r>
    </w:p>
    <w:p w14:paraId="4209E265"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 xml:space="preserve">Memo - A short journal entry to document processes, important research notes, and possible theories. </w:t>
      </w:r>
    </w:p>
    <w:p w14:paraId="103F0D2B"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 xml:space="preserve">Open-Coding - The assigning of codes to </w:t>
      </w:r>
      <w:proofErr w:type="spellStart"/>
      <w:r w:rsidRPr="00156822">
        <w:rPr>
          <w:rFonts w:ascii="Times New Roman" w:hAnsi="Times New Roman" w:cs="Times New Roman"/>
        </w:rPr>
        <w:t>to</w:t>
      </w:r>
      <w:proofErr w:type="spellEnd"/>
      <w:r w:rsidRPr="00156822">
        <w:rPr>
          <w:rFonts w:ascii="Times New Roman" w:hAnsi="Times New Roman" w:cs="Times New Roman"/>
        </w:rPr>
        <w:t xml:space="preserve"> the raw data without any previously selected codes. </w:t>
      </w:r>
    </w:p>
    <w:p w14:paraId="5DE8E13E"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 xml:space="preserve">Priori code - A code selected before the start of the coding cycle. </w:t>
      </w:r>
    </w:p>
    <w:p w14:paraId="4A15F152" w14:textId="77777777" w:rsidR="00D91945" w:rsidRPr="00156822" w:rsidRDefault="00D91945" w:rsidP="00156822">
      <w:pPr>
        <w:rPr>
          <w:rFonts w:ascii="Times New Roman" w:hAnsi="Times New Roman" w:cs="Times New Roman"/>
        </w:rPr>
      </w:pPr>
      <w:r w:rsidRPr="00156822">
        <w:rPr>
          <w:rFonts w:ascii="Times New Roman" w:hAnsi="Times New Roman" w:cs="Times New Roman"/>
        </w:rPr>
        <w:t>Saturation - The point in the research study where no new information seems to emerge from the coding cycle and there appears to be enough information to answer the research question.</w:t>
      </w:r>
    </w:p>
    <w:p w14:paraId="46D7C2E9" w14:textId="77777777" w:rsidR="00D91945" w:rsidRPr="00D93C05" w:rsidRDefault="00D91945" w:rsidP="00D91945">
      <w:pPr>
        <w:rPr>
          <w:rFonts w:ascii="Times New Roman" w:hAnsi="Times New Roman" w:cs="Times New Roman"/>
        </w:rPr>
      </w:pPr>
    </w:p>
    <w:p w14:paraId="5E5D429A" w14:textId="77777777" w:rsidR="00D91945" w:rsidRPr="00D93C05" w:rsidRDefault="00D91945" w:rsidP="00D91945">
      <w:pPr>
        <w:pStyle w:val="Heading2"/>
        <w:spacing w:before="0"/>
        <w:rPr>
          <w:rFonts w:ascii="Times New Roman" w:hAnsi="Times New Roman" w:cs="Times New Roman"/>
          <w:sz w:val="24"/>
          <w:szCs w:val="24"/>
        </w:rPr>
      </w:pPr>
      <w:r w:rsidRPr="00D93C05">
        <w:rPr>
          <w:rFonts w:ascii="Times New Roman" w:hAnsi="Times New Roman" w:cs="Times New Roman"/>
          <w:sz w:val="24"/>
          <w:szCs w:val="24"/>
        </w:rPr>
        <w:t>References</w:t>
      </w:r>
    </w:p>
    <w:p w14:paraId="3AD1059B" w14:textId="77777777" w:rsidR="00D91945" w:rsidRPr="00D93C05" w:rsidRDefault="00D91945" w:rsidP="00D91945">
      <w:pPr>
        <w:ind w:left="720" w:hanging="720"/>
        <w:rPr>
          <w:rFonts w:ascii="Times New Roman" w:eastAsia="Times New Roman" w:hAnsi="Times New Roman" w:cs="Times New Roman"/>
          <w:color w:val="222222"/>
          <w:highlight w:val="white"/>
        </w:rPr>
      </w:pPr>
      <w:r w:rsidRPr="00D93C05">
        <w:rPr>
          <w:rFonts w:ascii="Times New Roman" w:eastAsia="Times New Roman" w:hAnsi="Times New Roman" w:cs="Times New Roman"/>
          <w:color w:val="222222"/>
          <w:highlight w:val="white"/>
        </w:rPr>
        <w:t xml:space="preserve">Bogdan, R., &amp; Biklen, S. K. (1997). </w:t>
      </w:r>
      <w:r w:rsidRPr="00D93C05">
        <w:rPr>
          <w:rFonts w:ascii="Times New Roman" w:eastAsia="Times New Roman" w:hAnsi="Times New Roman" w:cs="Times New Roman"/>
          <w:i/>
          <w:iCs/>
          <w:color w:val="222222"/>
          <w:highlight w:val="white"/>
        </w:rPr>
        <w:t>Qualitative research for education</w:t>
      </w:r>
      <w:r w:rsidRPr="00D93C05">
        <w:rPr>
          <w:rFonts w:ascii="Times New Roman" w:eastAsia="Times New Roman" w:hAnsi="Times New Roman" w:cs="Times New Roman"/>
          <w:color w:val="222222"/>
          <w:highlight w:val="white"/>
        </w:rPr>
        <w:t>. Boston, MA: Allyn &amp; Bacon.</w:t>
      </w:r>
    </w:p>
    <w:p w14:paraId="7FD0E837" w14:textId="77777777" w:rsidR="00D91945" w:rsidRPr="00D93C05" w:rsidRDefault="00D91945" w:rsidP="00D91945">
      <w:pPr>
        <w:ind w:left="720" w:hanging="720"/>
        <w:rPr>
          <w:rFonts w:ascii="Times New Roman" w:eastAsia="Times New Roman" w:hAnsi="Times New Roman" w:cs="Times New Roman"/>
          <w:color w:val="222222"/>
          <w:highlight w:val="white"/>
        </w:rPr>
      </w:pPr>
      <w:r w:rsidRPr="00D93C05">
        <w:rPr>
          <w:rFonts w:ascii="Times New Roman" w:eastAsia="Times New Roman" w:hAnsi="Times New Roman" w:cs="Times New Roman"/>
          <w:color w:val="222222"/>
          <w:highlight w:val="white"/>
        </w:rPr>
        <w:t xml:space="preserve">Charmaz, K., &amp; Mitchell, R. G. (2014). </w:t>
      </w:r>
      <w:r w:rsidRPr="00D93C05">
        <w:rPr>
          <w:rFonts w:ascii="Times New Roman" w:eastAsia="Times New Roman" w:hAnsi="Times New Roman" w:cs="Times New Roman"/>
          <w:i/>
          <w:iCs/>
          <w:color w:val="222222"/>
          <w:highlight w:val="white"/>
        </w:rPr>
        <w:t xml:space="preserve">Grounded theory in ethnography. </w:t>
      </w:r>
      <w:r w:rsidRPr="00D93C05">
        <w:rPr>
          <w:rFonts w:ascii="Times New Roman" w:eastAsia="Times New Roman" w:hAnsi="Times New Roman" w:cs="Times New Roman"/>
          <w:color w:val="222222"/>
          <w:highlight w:val="white"/>
        </w:rPr>
        <w:t xml:space="preserve">In </w:t>
      </w:r>
      <w:r w:rsidRPr="00D93C05">
        <w:rPr>
          <w:rFonts w:ascii="Times New Roman" w:eastAsia="Times New Roman" w:hAnsi="Times New Roman" w:cs="Times New Roman"/>
          <w:color w:val="222222"/>
        </w:rPr>
        <w:t xml:space="preserve">Atkinson, P., Coffey, A., Delamont, S., </w:t>
      </w:r>
      <w:proofErr w:type="spellStart"/>
      <w:r w:rsidRPr="00D93C05">
        <w:rPr>
          <w:rFonts w:ascii="Times New Roman" w:eastAsia="Times New Roman" w:hAnsi="Times New Roman" w:cs="Times New Roman"/>
          <w:color w:val="222222"/>
        </w:rPr>
        <w:t>Lofland</w:t>
      </w:r>
      <w:proofErr w:type="spellEnd"/>
      <w:r w:rsidRPr="00D93C05">
        <w:rPr>
          <w:rFonts w:ascii="Times New Roman" w:eastAsia="Times New Roman" w:hAnsi="Times New Roman" w:cs="Times New Roman"/>
          <w:color w:val="222222"/>
        </w:rPr>
        <w:t xml:space="preserve">, J., &amp; </w:t>
      </w:r>
      <w:proofErr w:type="spellStart"/>
      <w:r w:rsidRPr="00D93C05">
        <w:rPr>
          <w:rFonts w:ascii="Times New Roman" w:eastAsia="Times New Roman" w:hAnsi="Times New Roman" w:cs="Times New Roman"/>
          <w:color w:val="222222"/>
        </w:rPr>
        <w:t>Lofland</w:t>
      </w:r>
      <w:proofErr w:type="spellEnd"/>
      <w:r w:rsidRPr="00D93C05">
        <w:rPr>
          <w:rFonts w:ascii="Times New Roman" w:eastAsia="Times New Roman" w:hAnsi="Times New Roman" w:cs="Times New Roman"/>
          <w:color w:val="222222"/>
        </w:rPr>
        <w:t>, L</w:t>
      </w:r>
      <w:r w:rsidRPr="00D93C05">
        <w:rPr>
          <w:rFonts w:ascii="Times New Roman" w:eastAsia="Times New Roman" w:hAnsi="Times New Roman" w:cs="Times New Roman"/>
          <w:i/>
          <w:iCs/>
          <w:color w:val="222222"/>
          <w:highlight w:val="white"/>
        </w:rPr>
        <w:t xml:space="preserve"> </w:t>
      </w:r>
      <w:r w:rsidRPr="00D93C05">
        <w:rPr>
          <w:rFonts w:ascii="Times New Roman" w:eastAsia="Times New Roman" w:hAnsi="Times New Roman" w:cs="Times New Roman"/>
          <w:color w:val="222222"/>
          <w:highlight w:val="white"/>
        </w:rPr>
        <w:t xml:space="preserve">(Eds.), </w:t>
      </w:r>
      <w:r w:rsidRPr="00D93C05">
        <w:rPr>
          <w:rFonts w:ascii="Times New Roman" w:eastAsia="Times New Roman" w:hAnsi="Times New Roman" w:cs="Times New Roman"/>
          <w:i/>
          <w:iCs/>
          <w:color w:val="222222"/>
          <w:highlight w:val="white"/>
        </w:rPr>
        <w:t>Handbook of ethnography</w:t>
      </w:r>
      <w:r w:rsidRPr="00D93C05">
        <w:rPr>
          <w:rFonts w:ascii="Times New Roman" w:eastAsia="Times New Roman" w:hAnsi="Times New Roman" w:cs="Times New Roman"/>
          <w:color w:val="222222"/>
          <w:highlight w:val="white"/>
        </w:rPr>
        <w:t>, (160 -174). Thousand Oaks, CA:</w:t>
      </w:r>
      <w:r w:rsidRPr="00D93C05">
        <w:rPr>
          <w:rFonts w:ascii="Times New Roman" w:eastAsia="Times New Roman" w:hAnsi="Times New Roman" w:cs="Times New Roman"/>
          <w:i/>
          <w:iCs/>
          <w:color w:val="222222"/>
          <w:highlight w:val="white"/>
        </w:rPr>
        <w:t xml:space="preserve"> </w:t>
      </w:r>
      <w:r w:rsidRPr="00D93C05">
        <w:rPr>
          <w:rFonts w:ascii="Times New Roman" w:eastAsia="Times New Roman" w:hAnsi="Times New Roman" w:cs="Times New Roman"/>
          <w:color w:val="222222"/>
          <w:highlight w:val="white"/>
        </w:rPr>
        <w:t>Sage Publications.</w:t>
      </w:r>
    </w:p>
    <w:p w14:paraId="0C698F2D" w14:textId="77777777" w:rsidR="00D91945" w:rsidRPr="00D93C05" w:rsidRDefault="00D91945" w:rsidP="00D91945">
      <w:pPr>
        <w:ind w:left="720" w:hanging="720"/>
        <w:rPr>
          <w:rFonts w:ascii="Times New Roman" w:eastAsia="Times New Roman" w:hAnsi="Times New Roman" w:cs="Times New Roman"/>
          <w:color w:val="222222"/>
          <w:highlight w:val="white"/>
        </w:rPr>
      </w:pPr>
      <w:r w:rsidRPr="00D93C05">
        <w:rPr>
          <w:rFonts w:ascii="Times New Roman" w:eastAsia="Times New Roman" w:hAnsi="Times New Roman" w:cs="Times New Roman"/>
          <w:color w:val="222222"/>
        </w:rPr>
        <w:t>Soundcloud. (2010, August 19). Creative Commons. https://creativecommons.org/2010/08/19/soundcloud/</w:t>
      </w:r>
    </w:p>
    <w:p w14:paraId="48A67B4D" w14:textId="77777777" w:rsidR="00D91945" w:rsidRPr="00D93C05" w:rsidRDefault="00D91945" w:rsidP="00D91945">
      <w:pPr>
        <w:ind w:left="720" w:hanging="720"/>
        <w:rPr>
          <w:rFonts w:ascii="Times New Roman" w:eastAsia="Times New Roman" w:hAnsi="Times New Roman" w:cs="Times New Roman"/>
          <w:color w:val="222222"/>
          <w:highlight w:val="white"/>
        </w:rPr>
      </w:pPr>
      <w:r w:rsidRPr="00D93C05">
        <w:rPr>
          <w:rFonts w:ascii="Times New Roman" w:eastAsia="Times New Roman" w:hAnsi="Times New Roman" w:cs="Times New Roman"/>
          <w:color w:val="222222"/>
          <w:highlight w:val="white"/>
        </w:rPr>
        <w:t xml:space="preserve">Creswell, J. W., &amp; Poth, C. N. (2016). </w:t>
      </w:r>
      <w:r w:rsidRPr="00D93C05">
        <w:rPr>
          <w:rFonts w:ascii="Times New Roman" w:eastAsia="Times New Roman" w:hAnsi="Times New Roman" w:cs="Times New Roman"/>
          <w:i/>
          <w:iCs/>
          <w:color w:val="222222"/>
          <w:highlight w:val="white"/>
        </w:rPr>
        <w:t>Qualitative inquiry and research design: Choosing among five approaches.</w:t>
      </w:r>
      <w:r w:rsidRPr="00D93C05">
        <w:rPr>
          <w:rFonts w:ascii="Times New Roman" w:eastAsia="Times New Roman" w:hAnsi="Times New Roman" w:cs="Times New Roman"/>
          <w:color w:val="222222"/>
          <w:highlight w:val="white"/>
        </w:rPr>
        <w:t xml:space="preserve"> Thousand Oaks, CA:</w:t>
      </w:r>
      <w:r w:rsidRPr="00D93C05">
        <w:rPr>
          <w:rFonts w:ascii="Times New Roman" w:eastAsia="Times New Roman" w:hAnsi="Times New Roman" w:cs="Times New Roman"/>
          <w:i/>
          <w:iCs/>
          <w:color w:val="222222"/>
          <w:highlight w:val="white"/>
        </w:rPr>
        <w:t xml:space="preserve"> </w:t>
      </w:r>
      <w:r w:rsidRPr="00D93C05">
        <w:rPr>
          <w:rFonts w:ascii="Times New Roman" w:eastAsia="Times New Roman" w:hAnsi="Times New Roman" w:cs="Times New Roman"/>
          <w:color w:val="222222"/>
          <w:highlight w:val="white"/>
        </w:rPr>
        <w:t xml:space="preserve">Sage Publications. </w:t>
      </w:r>
    </w:p>
    <w:p w14:paraId="35D51D87" w14:textId="77777777" w:rsidR="00D91945" w:rsidRPr="00D93C05" w:rsidRDefault="00D91945" w:rsidP="00D91945">
      <w:pPr>
        <w:ind w:left="720" w:hanging="720"/>
        <w:rPr>
          <w:rFonts w:ascii="Times New Roman" w:eastAsia="Times New Roman" w:hAnsi="Times New Roman" w:cs="Times New Roman"/>
          <w:color w:val="222222"/>
        </w:rPr>
      </w:pPr>
      <w:r w:rsidRPr="00D93C05">
        <w:rPr>
          <w:rFonts w:ascii="Times New Roman" w:eastAsia="Times New Roman" w:hAnsi="Times New Roman" w:cs="Times New Roman"/>
          <w:color w:val="222222"/>
        </w:rPr>
        <w:lastRenderedPageBreak/>
        <w:t xml:space="preserve">Glaser, B. G., &amp; Strauss, A. (1967). </w:t>
      </w:r>
      <w:r w:rsidRPr="00D93C05">
        <w:rPr>
          <w:rFonts w:ascii="Times New Roman" w:eastAsia="Times New Roman" w:hAnsi="Times New Roman" w:cs="Times New Roman"/>
          <w:i/>
          <w:iCs/>
          <w:color w:val="222222"/>
        </w:rPr>
        <w:t>The discovery of grounded theory: Strategies for qualitative research.</w:t>
      </w:r>
      <w:r w:rsidRPr="00D93C05">
        <w:rPr>
          <w:rFonts w:ascii="Times New Roman" w:eastAsia="Times New Roman" w:hAnsi="Times New Roman" w:cs="Times New Roman"/>
          <w:color w:val="222222"/>
        </w:rPr>
        <w:t xml:space="preserve"> New York: Aldine Publishing Co.</w:t>
      </w:r>
    </w:p>
    <w:p w14:paraId="4BDA94BE" w14:textId="77777777" w:rsidR="00D91945" w:rsidRPr="00D93C05" w:rsidRDefault="00D91945" w:rsidP="00D91945">
      <w:pPr>
        <w:ind w:left="720" w:hanging="720"/>
        <w:rPr>
          <w:rFonts w:ascii="Times New Roman" w:eastAsia="Times New Roman" w:hAnsi="Times New Roman" w:cs="Times New Roman"/>
          <w:color w:val="222222"/>
          <w:highlight w:val="white"/>
        </w:rPr>
      </w:pPr>
      <w:proofErr w:type="spellStart"/>
      <w:r w:rsidRPr="00D93C05">
        <w:rPr>
          <w:rFonts w:ascii="Times New Roman" w:eastAsia="Times New Roman" w:hAnsi="Times New Roman" w:cs="Times New Roman"/>
          <w:color w:val="222222"/>
          <w:highlight w:val="white"/>
        </w:rPr>
        <w:t>Saldaña</w:t>
      </w:r>
      <w:proofErr w:type="spellEnd"/>
      <w:r w:rsidRPr="00D93C05">
        <w:rPr>
          <w:rFonts w:ascii="Times New Roman" w:eastAsia="Times New Roman" w:hAnsi="Times New Roman" w:cs="Times New Roman"/>
          <w:color w:val="222222"/>
          <w:highlight w:val="white"/>
        </w:rPr>
        <w:t xml:space="preserve">, J. (2015). </w:t>
      </w:r>
      <w:r w:rsidRPr="00D93C05">
        <w:rPr>
          <w:rFonts w:ascii="Times New Roman" w:eastAsia="Times New Roman" w:hAnsi="Times New Roman" w:cs="Times New Roman"/>
          <w:i/>
          <w:iCs/>
          <w:color w:val="222222"/>
          <w:highlight w:val="white"/>
        </w:rPr>
        <w:t>The coding manual for qualitative researchers.</w:t>
      </w:r>
      <w:r w:rsidRPr="00D93C05">
        <w:rPr>
          <w:rFonts w:ascii="Times New Roman" w:eastAsia="Times New Roman" w:hAnsi="Times New Roman" w:cs="Times New Roman"/>
          <w:color w:val="222222"/>
          <w:highlight w:val="white"/>
        </w:rPr>
        <w:t xml:space="preserve"> Thousand Oaks, CA:</w:t>
      </w:r>
      <w:r w:rsidRPr="00D93C05">
        <w:rPr>
          <w:rFonts w:ascii="Times New Roman" w:eastAsia="Times New Roman" w:hAnsi="Times New Roman" w:cs="Times New Roman"/>
          <w:i/>
          <w:iCs/>
          <w:color w:val="222222"/>
          <w:highlight w:val="white"/>
        </w:rPr>
        <w:t xml:space="preserve"> </w:t>
      </w:r>
      <w:r w:rsidRPr="00D93C05">
        <w:rPr>
          <w:rFonts w:ascii="Times New Roman" w:eastAsia="Times New Roman" w:hAnsi="Times New Roman" w:cs="Times New Roman"/>
          <w:color w:val="222222"/>
          <w:highlight w:val="white"/>
        </w:rPr>
        <w:t xml:space="preserve">Sage Publications. </w:t>
      </w:r>
    </w:p>
    <w:p w14:paraId="1B89088E" w14:textId="77777777" w:rsidR="00D91945" w:rsidRPr="00D93C05" w:rsidRDefault="00D91945" w:rsidP="00D91945">
      <w:pPr>
        <w:ind w:left="720" w:hanging="720"/>
        <w:rPr>
          <w:rFonts w:ascii="Times New Roman" w:eastAsia="Times New Roman" w:hAnsi="Times New Roman" w:cs="Times New Roman"/>
        </w:rPr>
      </w:pPr>
      <w:r w:rsidRPr="00D93C05">
        <w:rPr>
          <w:rFonts w:ascii="Times New Roman" w:eastAsia="Times New Roman" w:hAnsi="Times New Roman" w:cs="Times New Roman"/>
        </w:rPr>
        <w:t xml:space="preserve">Saunders, B., Sim, J., Kingstone, T., Baker, S., Waterfield, J., Bartlam, B., </w:t>
      </w:r>
      <w:proofErr w:type="spellStart"/>
      <w:r w:rsidRPr="00D93C05">
        <w:rPr>
          <w:rFonts w:ascii="Times New Roman" w:eastAsia="Times New Roman" w:hAnsi="Times New Roman" w:cs="Times New Roman"/>
        </w:rPr>
        <w:t>Jinks</w:t>
      </w:r>
      <w:proofErr w:type="spellEnd"/>
      <w:r w:rsidRPr="00D93C05">
        <w:rPr>
          <w:rFonts w:ascii="Times New Roman" w:eastAsia="Times New Roman" w:hAnsi="Times New Roman" w:cs="Times New Roman"/>
        </w:rPr>
        <w:t xml:space="preserve">, C. (2018). Saturation in qualitative research: exploring its conceptualization and operationalization. </w:t>
      </w:r>
      <w:r w:rsidRPr="00D93C05">
        <w:rPr>
          <w:rFonts w:ascii="Times New Roman" w:eastAsia="Times New Roman" w:hAnsi="Times New Roman" w:cs="Times New Roman"/>
          <w:i/>
          <w:iCs/>
        </w:rPr>
        <w:t>Quality &amp; quantity</w:t>
      </w:r>
      <w:r w:rsidRPr="00D93C05">
        <w:rPr>
          <w:rFonts w:ascii="Times New Roman" w:eastAsia="Times New Roman" w:hAnsi="Times New Roman" w:cs="Times New Roman"/>
        </w:rPr>
        <w:t xml:space="preserve">, 52(4), 1893–1907. </w:t>
      </w:r>
    </w:p>
    <w:p w14:paraId="7319E6A8" w14:textId="77777777" w:rsidR="00D91945" w:rsidRPr="00D93C05" w:rsidRDefault="00D91945" w:rsidP="00D91945">
      <w:pPr>
        <w:ind w:left="720" w:hanging="720"/>
        <w:rPr>
          <w:rFonts w:ascii="Times New Roman" w:eastAsia="Times New Roman" w:hAnsi="Times New Roman" w:cs="Times New Roman"/>
          <w:color w:val="222222"/>
          <w:highlight w:val="white"/>
        </w:rPr>
      </w:pPr>
      <w:r w:rsidRPr="00D93C05">
        <w:rPr>
          <w:rFonts w:ascii="Times New Roman" w:eastAsia="Times New Roman" w:hAnsi="Times New Roman" w:cs="Times New Roman"/>
        </w:rPr>
        <w:t xml:space="preserve">Strauss, A., &amp; Corbin, J. M. (1997). </w:t>
      </w:r>
      <w:r w:rsidRPr="00D93C05">
        <w:rPr>
          <w:rFonts w:ascii="Times New Roman" w:eastAsia="Times New Roman" w:hAnsi="Times New Roman" w:cs="Times New Roman"/>
          <w:i/>
          <w:iCs/>
        </w:rPr>
        <w:t>Grounded theory in practice.</w:t>
      </w:r>
      <w:r w:rsidRPr="00D93C05">
        <w:rPr>
          <w:rFonts w:ascii="Times New Roman" w:eastAsia="Times New Roman" w:hAnsi="Times New Roman" w:cs="Times New Roman"/>
        </w:rPr>
        <w:t xml:space="preserve"> </w:t>
      </w:r>
      <w:r w:rsidRPr="00D93C05">
        <w:rPr>
          <w:rFonts w:ascii="Times New Roman" w:eastAsia="Times New Roman" w:hAnsi="Times New Roman" w:cs="Times New Roman"/>
          <w:color w:val="222222"/>
          <w:highlight w:val="white"/>
        </w:rPr>
        <w:t>Thousand Oaks, CA:</w:t>
      </w:r>
      <w:r w:rsidRPr="00D93C05">
        <w:rPr>
          <w:rFonts w:ascii="Times New Roman" w:eastAsia="Times New Roman" w:hAnsi="Times New Roman" w:cs="Times New Roman"/>
          <w:i/>
          <w:iCs/>
          <w:color w:val="222222"/>
          <w:highlight w:val="white"/>
        </w:rPr>
        <w:t xml:space="preserve"> </w:t>
      </w:r>
      <w:r w:rsidRPr="00D93C05">
        <w:rPr>
          <w:rFonts w:ascii="Times New Roman" w:eastAsia="Times New Roman" w:hAnsi="Times New Roman" w:cs="Times New Roman"/>
          <w:color w:val="222222"/>
          <w:highlight w:val="white"/>
        </w:rPr>
        <w:t xml:space="preserve">Sage Publications. </w:t>
      </w:r>
    </w:p>
    <w:p w14:paraId="43B2A847" w14:textId="77777777" w:rsidR="00D91945" w:rsidRPr="00D93C05" w:rsidRDefault="00D91945" w:rsidP="00D91945">
      <w:pPr>
        <w:rPr>
          <w:rFonts w:ascii="Times New Roman" w:eastAsia="Times New Roman" w:hAnsi="Times New Roman" w:cs="Times New Roman"/>
        </w:rPr>
      </w:pPr>
    </w:p>
    <w:p w14:paraId="5890BDF2" w14:textId="07875442" w:rsidR="00D91945" w:rsidRDefault="00D91945">
      <w:r>
        <w:br w:type="page"/>
      </w:r>
    </w:p>
    <w:p w14:paraId="59699C50" w14:textId="77777777" w:rsidR="00D91945" w:rsidRPr="00156822" w:rsidRDefault="00D91945" w:rsidP="00156822">
      <w:pPr>
        <w:pStyle w:val="Heading1"/>
        <w:spacing w:before="0"/>
        <w:jc w:val="center"/>
        <w:rPr>
          <w:rFonts w:ascii="Times New Roman" w:hAnsi="Times New Roman" w:cs="Times New Roman"/>
        </w:rPr>
      </w:pPr>
      <w:r w:rsidRPr="00156822">
        <w:rPr>
          <w:rFonts w:ascii="Times New Roman" w:hAnsi="Times New Roman" w:cs="Times New Roman"/>
        </w:rPr>
        <w:lastRenderedPageBreak/>
        <w:t>Analyzing Ethnographic Data</w:t>
      </w:r>
    </w:p>
    <w:p w14:paraId="439E96C2" w14:textId="77777777" w:rsidR="00D91945" w:rsidRPr="00156822" w:rsidRDefault="00D91945" w:rsidP="00156822">
      <w:pPr>
        <w:pStyle w:val="Heading1"/>
        <w:spacing w:before="0"/>
        <w:jc w:val="center"/>
        <w:rPr>
          <w:rFonts w:ascii="Times New Roman" w:hAnsi="Times New Roman" w:cs="Times New Roman"/>
        </w:rPr>
      </w:pPr>
      <w:r w:rsidRPr="00156822">
        <w:rPr>
          <w:rFonts w:ascii="Times New Roman" w:hAnsi="Times New Roman" w:cs="Times New Roman"/>
        </w:rPr>
        <w:t>April Burns</w:t>
      </w:r>
    </w:p>
    <w:p w14:paraId="360A6752" w14:textId="77777777" w:rsidR="00D91945" w:rsidRPr="00156822" w:rsidRDefault="00D91945" w:rsidP="00156822">
      <w:pPr>
        <w:pStyle w:val="Heading2"/>
        <w:spacing w:before="0"/>
        <w:rPr>
          <w:rFonts w:ascii="Times New Roman" w:hAnsi="Times New Roman" w:cs="Times New Roman"/>
        </w:rPr>
      </w:pPr>
      <w:r w:rsidRPr="00156822">
        <w:rPr>
          <w:rFonts w:ascii="Times New Roman" w:hAnsi="Times New Roman" w:cs="Times New Roman"/>
        </w:rPr>
        <w:t>Introduction</w:t>
      </w:r>
    </w:p>
    <w:p w14:paraId="482A7C45" w14:textId="77777777" w:rsidR="00D91945" w:rsidRPr="00156822" w:rsidRDefault="00D91945" w:rsidP="00156822">
      <w:pPr>
        <w:ind w:firstLine="720"/>
        <w:rPr>
          <w:rFonts w:ascii="Times New Roman" w:hAnsi="Times New Roman" w:cs="Times New Roman"/>
        </w:rPr>
      </w:pPr>
      <w:r w:rsidRPr="00156822">
        <w:rPr>
          <w:rFonts w:ascii="Times New Roman" w:hAnsi="Times New Roman" w:cs="Times New Roman"/>
        </w:rPr>
        <w:t xml:space="preserve">In this chapter, I will outline some principles of data analysis that will guide you in analyzing, interpreting, and writing up your ethnographic research projects. Skilled ethnographers are not unlike creative professionals, such as designers or chefs, in that their work products come together as a result of creativity, sustained effort and giving up some control over the final product. While cooks tend to follow recipes, chefs follow culinary principles, foundational truths about the types of flavors that work well together, and the practices that create delicious dishes. When you follow a recipe, you are limited to a specific dish, you follow someone else’s plan based on their priorities and tastes. This can be useful as you learn the fundamentals of cooking. However, it is more liberating and useful to become fluent in the ideas that make cooking a range of dishes (or analyzing a range of social settings) possible. Similarly, these principles and practices of data analysis will open the doors to the meaningful interpretation of all sorts of ethnographic data. Though there may be some recipe-like directions in this chapter, my goal is to instead emphasize the most critical principles of data analysis. </w:t>
      </w:r>
    </w:p>
    <w:p w14:paraId="20EE47D9" w14:textId="77777777" w:rsidR="00D91945" w:rsidRPr="00156822" w:rsidRDefault="00D91945" w:rsidP="00156822">
      <w:pPr>
        <w:pStyle w:val="Heading2"/>
        <w:spacing w:before="0"/>
        <w:rPr>
          <w:rFonts w:ascii="Times New Roman" w:eastAsia="Times New Roman" w:hAnsi="Times New Roman" w:cs="Times New Roman"/>
        </w:rPr>
      </w:pPr>
      <w:r w:rsidRPr="00156822">
        <w:rPr>
          <w:rFonts w:ascii="Times New Roman" w:eastAsia="Times New Roman" w:hAnsi="Times New Roman" w:cs="Times New Roman"/>
        </w:rPr>
        <w:t xml:space="preserve">What is ‘analysis’ and why do we do it? </w:t>
      </w:r>
    </w:p>
    <w:p w14:paraId="70470F12" w14:textId="77777777" w:rsidR="00D91945" w:rsidRPr="00156822" w:rsidRDefault="00D91945" w:rsidP="00156822">
      <w:pPr>
        <w:pStyle w:val="ListParagraph"/>
        <w:ind w:left="0" w:firstLine="720"/>
        <w:rPr>
          <w:rFonts w:ascii="Times New Roman" w:eastAsia="Times New Roman" w:hAnsi="Times New Roman" w:cs="Times New Roman"/>
        </w:rPr>
      </w:pPr>
      <w:r w:rsidRPr="00156822">
        <w:rPr>
          <w:rFonts w:ascii="Times New Roman" w:eastAsia="Times New Roman" w:hAnsi="Times New Roman" w:cs="Times New Roman"/>
        </w:rPr>
        <w:t xml:space="preserve">You’ve collected data and begun to put together many of the pieces of a social cultural puzzle, but the pieces by themselves don’t yet tell a story. Data analysis is the stage in which you work to put the pieces together to present a picture of the social context that you set out to study. It is the process by which we make sense of all the data that we have collected over the course of a project (Bailey, 2018, p. 159) specifically in order to make some </w:t>
      </w:r>
      <w:r w:rsidRPr="00156822">
        <w:rPr>
          <w:rFonts w:ascii="Times New Roman" w:eastAsia="Times New Roman" w:hAnsi="Times New Roman" w:cs="Times New Roman"/>
          <w:b/>
        </w:rPr>
        <w:t>assertions</w:t>
      </w:r>
      <w:r w:rsidRPr="00156822">
        <w:rPr>
          <w:rFonts w:ascii="Times New Roman" w:eastAsia="Times New Roman" w:hAnsi="Times New Roman" w:cs="Times New Roman"/>
        </w:rPr>
        <w:t xml:space="preserve"> about a particular social and cultural space. These assertions should be based on the various data that you have collected including the observations you conducted, the experiences and the interactions you engaged in, and the fieldnotes you wrote documenting such observations, experiences and interactions. Data also include the interviews you conducted and transcribed, the artifacts and official documents you have collected, any photos you have taken and any maps you may have drawn. Brewer (2000) defines analysis as “the process of bringing order to the data, organizing what is there into patterns, categories and descriptive units, and looking for relationships between them” (p. 105). This analysis stage is made possible by our previous data organizing (sometimes called </w:t>
      </w:r>
      <w:r w:rsidRPr="00156822">
        <w:rPr>
          <w:rFonts w:ascii="Times New Roman" w:eastAsia="Times New Roman" w:hAnsi="Times New Roman" w:cs="Times New Roman"/>
          <w:i/>
        </w:rPr>
        <w:t>data reduction</w:t>
      </w:r>
      <w:r w:rsidRPr="00156822">
        <w:rPr>
          <w:rFonts w:ascii="Times New Roman" w:eastAsia="Times New Roman" w:hAnsi="Times New Roman" w:cs="Times New Roman"/>
        </w:rPr>
        <w:t xml:space="preserve">) and engaging in the coding process, both of which facilitate an intimate familiarity with our data. From there, data analysis should move toward ‘interpretation,’ which “involves attaching meaning and significance to the analysis, explaining the patterns, categories and relationships” (Brewer, 2000, p. 105). </w:t>
      </w:r>
    </w:p>
    <w:p w14:paraId="711A0B10" w14:textId="77777777" w:rsidR="00D91945" w:rsidRPr="00156822" w:rsidRDefault="00D91945" w:rsidP="00156822">
      <w:pPr>
        <w:pStyle w:val="ListParagraph"/>
        <w:ind w:left="0" w:firstLine="720"/>
        <w:rPr>
          <w:rFonts w:ascii="Times New Roman" w:eastAsia="Times New Roman" w:hAnsi="Times New Roman" w:cs="Times New Roman"/>
        </w:rPr>
      </w:pPr>
      <w:r w:rsidRPr="00156822">
        <w:rPr>
          <w:rFonts w:ascii="Times New Roman" w:eastAsia="Times New Roman" w:hAnsi="Times New Roman" w:cs="Times New Roman"/>
        </w:rPr>
        <w:t xml:space="preserve">Data analysis, like much creative work, is often improvisational and therefore, a “messy” process (Murchison, 2010, p. 181). A successful outcome will likely require you to ‘lean into’ what can feel like a chaotic endeavor. Accepting such ambiguities and uncertainties is part of the process of becoming an ethnographer, indeed a researcher of any sort. While coding and analysis can be a “messy” and thus challenging process (Bailey, 2018, p. 160), keep in mind that we do versions of this a lot in our lives. Consider for example, how we go about cleaning a messy room, desk or closet. We first organize the contents of the room, desk or closet into categories that make sense to us, our purposes, and our lives (e.g., Clean clothes, books). This is like the coding process and the contents of the space are the separate pieces of data we have collected. Think about undertaking such a process for someone else, tidying their closet for them. After organizing/categorizing their stuff, you will likely learn a lot about </w:t>
      </w:r>
      <w:proofErr w:type="gramStart"/>
      <w:r w:rsidRPr="00156822">
        <w:rPr>
          <w:rFonts w:ascii="Times New Roman" w:eastAsia="Times New Roman" w:hAnsi="Times New Roman" w:cs="Times New Roman"/>
        </w:rPr>
        <w:t>them</w:t>
      </w:r>
      <w:proofErr w:type="gramEnd"/>
      <w:r w:rsidRPr="00156822">
        <w:rPr>
          <w:rFonts w:ascii="Times New Roman" w:eastAsia="Times New Roman" w:hAnsi="Times New Roman" w:cs="Times New Roman"/>
        </w:rPr>
        <w:t xml:space="preserve"> and additional questions will have emerged. Why do they have so many pairs of shin guards? What occasions do they </w:t>
      </w:r>
      <w:r w:rsidRPr="00156822">
        <w:rPr>
          <w:rFonts w:ascii="Times New Roman" w:eastAsia="Times New Roman" w:hAnsi="Times New Roman" w:cs="Times New Roman"/>
        </w:rPr>
        <w:lastRenderedPageBreak/>
        <w:t xml:space="preserve">wear their formal clothes to? Why are three boxes of letters important enough for them to have kept and organized by month and year? The answers to such hypothetical questions will tell you even more about the lives and experiences of the closet owners. The process by which you become familiar enough with the closet contents to ask questions and work to answer them, and then craft an explanation of the meaning to the closet owner, constitutes the analysis stage. </w:t>
      </w:r>
    </w:p>
    <w:p w14:paraId="0F2769D0" w14:textId="77777777" w:rsidR="00D91945" w:rsidRPr="00156822" w:rsidRDefault="00D91945" w:rsidP="00156822">
      <w:pPr>
        <w:pStyle w:val="ListParagraph"/>
        <w:ind w:left="0"/>
        <w:rPr>
          <w:rFonts w:ascii="Times New Roman" w:eastAsia="Times New Roman" w:hAnsi="Times New Roman" w:cs="Times New Roman"/>
        </w:rPr>
      </w:pPr>
      <w:r w:rsidRPr="00156822">
        <w:rPr>
          <w:rStyle w:val="Heading3Char"/>
          <w:rFonts w:ascii="Times New Roman" w:hAnsi="Times New Roman" w:cs="Times New Roman"/>
        </w:rPr>
        <w:t>Keep in Mind:</w:t>
      </w:r>
      <w:r w:rsidRPr="00156822">
        <w:rPr>
          <w:rFonts w:ascii="Times New Roman" w:eastAsia="Times New Roman" w:hAnsi="Times New Roman" w:cs="Times New Roman"/>
        </w:rPr>
        <w:t xml:space="preserve"> </w:t>
      </w:r>
    </w:p>
    <w:p w14:paraId="761313EC" w14:textId="77777777" w:rsidR="00D91945" w:rsidRPr="00156822" w:rsidRDefault="00D91945" w:rsidP="00156822">
      <w:pPr>
        <w:pStyle w:val="ListParagraph"/>
        <w:ind w:left="0" w:firstLine="720"/>
        <w:rPr>
          <w:rFonts w:ascii="Times New Roman" w:eastAsia="Times New Roman" w:hAnsi="Times New Roman" w:cs="Times New Roman"/>
        </w:rPr>
      </w:pPr>
      <w:r w:rsidRPr="00156822">
        <w:rPr>
          <w:rFonts w:ascii="Times New Roman" w:eastAsia="Times New Roman" w:hAnsi="Times New Roman" w:cs="Times New Roman"/>
        </w:rPr>
        <w:t xml:space="preserve">Your unique and informed perspective is valuable and could potentially reveal aspects of a social context that previous researchers hadn’t considered. As the creative and intellectual force leading this process, you are free to innovate in how you apply these principles to your research and assignments, when and where it makes good sense to do so – as long as you document and explain your reasoning behind such revisions. </w:t>
      </w:r>
    </w:p>
    <w:p w14:paraId="54F029E3" w14:textId="77777777" w:rsidR="00D91945" w:rsidRPr="00156822" w:rsidRDefault="00D91945" w:rsidP="00156822">
      <w:pPr>
        <w:rPr>
          <w:rStyle w:val="Heading3Char"/>
          <w:rFonts w:ascii="Times New Roman" w:hAnsi="Times New Roman" w:cs="Times New Roman"/>
        </w:rPr>
      </w:pPr>
      <w:r w:rsidRPr="00156822">
        <w:rPr>
          <w:rStyle w:val="Heading3Char"/>
          <w:rFonts w:ascii="Times New Roman" w:hAnsi="Times New Roman" w:cs="Times New Roman"/>
        </w:rPr>
        <w:t xml:space="preserve">Stages of Analysis: </w:t>
      </w:r>
    </w:p>
    <w:p w14:paraId="1C83CBB3" w14:textId="77777777" w:rsidR="00D91945" w:rsidRPr="00156822" w:rsidRDefault="00D91945" w:rsidP="00156822">
      <w:pPr>
        <w:rPr>
          <w:rFonts w:ascii="Times New Roman" w:eastAsia="Times New Roman" w:hAnsi="Times New Roman" w:cs="Times New Roman"/>
        </w:rPr>
      </w:pPr>
      <w:r w:rsidRPr="00156822">
        <w:rPr>
          <w:rFonts w:ascii="Times New Roman" w:eastAsia="Times New Roman" w:hAnsi="Times New Roman" w:cs="Times New Roman"/>
        </w:rPr>
        <w:t xml:space="preserve">Coding </w:t>
      </w:r>
      <w:r w:rsidRPr="00156822">
        <w:rPr>
          <w:rFonts w:ascii="Times New Roman" w:eastAsia="Times New Roman" w:hAnsi="Times New Roman" w:cs="Times New Roman"/>
        </w:rPr>
        <w:sym w:font="Wingdings" w:char="F0E8"/>
      </w:r>
      <w:r w:rsidRPr="00156822">
        <w:rPr>
          <w:rFonts w:ascii="Times New Roman" w:eastAsia="Times New Roman" w:hAnsi="Times New Roman" w:cs="Times New Roman"/>
        </w:rPr>
        <w:t xml:space="preserve"> analysis begins thru evolving coding </w:t>
      </w:r>
      <w:r w:rsidRPr="00156822">
        <w:rPr>
          <w:rFonts w:ascii="Times New Roman" w:eastAsia="Times New Roman" w:hAnsi="Times New Roman" w:cs="Times New Roman"/>
        </w:rPr>
        <w:sym w:font="Wingdings" w:char="F0E8"/>
      </w:r>
      <w:r w:rsidRPr="00156822">
        <w:rPr>
          <w:rFonts w:ascii="Times New Roman" w:eastAsia="Times New Roman" w:hAnsi="Times New Roman" w:cs="Times New Roman"/>
        </w:rPr>
        <w:t xml:space="preserve"> coding moves to identification of key themes </w:t>
      </w:r>
      <w:r w:rsidRPr="00156822">
        <w:rPr>
          <w:rFonts w:ascii="Times New Roman" w:eastAsia="Times New Roman" w:hAnsi="Times New Roman" w:cs="Times New Roman"/>
        </w:rPr>
        <w:sym w:font="Wingdings" w:char="F0E8"/>
      </w:r>
      <w:r w:rsidRPr="00156822">
        <w:rPr>
          <w:rFonts w:ascii="Times New Roman" w:eastAsia="Times New Roman" w:hAnsi="Times New Roman" w:cs="Times New Roman"/>
        </w:rPr>
        <w:t xml:space="preserve"> analysis develops thru memo-</w:t>
      </w:r>
      <w:proofErr w:type="spellStart"/>
      <w:r w:rsidRPr="00156822">
        <w:rPr>
          <w:rFonts w:ascii="Times New Roman" w:eastAsia="Times New Roman" w:hAnsi="Times New Roman" w:cs="Times New Roman"/>
        </w:rPr>
        <w:t>ing</w:t>
      </w:r>
      <w:proofErr w:type="spellEnd"/>
      <w:r w:rsidRPr="00156822">
        <w:rPr>
          <w:rFonts w:ascii="Times New Roman" w:eastAsia="Times New Roman" w:hAnsi="Times New Roman" w:cs="Times New Roman"/>
        </w:rPr>
        <w:t xml:space="preserve"> </w:t>
      </w:r>
      <w:r w:rsidRPr="00156822">
        <w:rPr>
          <w:rFonts w:ascii="Times New Roman" w:eastAsia="Times New Roman" w:hAnsi="Times New Roman" w:cs="Times New Roman"/>
        </w:rPr>
        <w:sym w:font="Wingdings" w:char="F0E8"/>
      </w:r>
      <w:r w:rsidRPr="00156822">
        <w:rPr>
          <w:rFonts w:ascii="Times New Roman" w:eastAsia="Times New Roman" w:hAnsi="Times New Roman" w:cs="Times New Roman"/>
        </w:rPr>
        <w:t xml:space="preserve"> analysis continues toward interpretation </w:t>
      </w:r>
      <w:r w:rsidRPr="00156822">
        <w:rPr>
          <w:rFonts w:ascii="Times New Roman" w:eastAsia="Times New Roman" w:hAnsi="Times New Roman" w:cs="Times New Roman"/>
        </w:rPr>
        <w:sym w:font="Wingdings" w:char="F0E8"/>
      </w:r>
      <w:r w:rsidRPr="00156822">
        <w:rPr>
          <w:rFonts w:ascii="Times New Roman" w:eastAsia="Times New Roman" w:hAnsi="Times New Roman" w:cs="Times New Roman"/>
        </w:rPr>
        <w:t xml:space="preserve"> leading to assertions/theory </w:t>
      </w:r>
      <w:r w:rsidRPr="00156822">
        <w:rPr>
          <w:rFonts w:ascii="Times New Roman" w:eastAsia="Times New Roman" w:hAnsi="Times New Roman" w:cs="Times New Roman"/>
        </w:rPr>
        <w:sym w:font="Wingdings" w:char="F0E8"/>
      </w:r>
      <w:r w:rsidRPr="00156822">
        <w:rPr>
          <w:rFonts w:ascii="Times New Roman" w:eastAsia="Times New Roman" w:hAnsi="Times New Roman" w:cs="Times New Roman"/>
        </w:rPr>
        <w:t xml:space="preserve"> written ethnography.</w:t>
      </w:r>
    </w:p>
    <w:p w14:paraId="072A4A87"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 xml:space="preserve">Ethnographers typically move from observing and recording the concrete actions and interactions of people and groups, to organizing this recorded data, to generating ideas conceptualizing and interpreting these practices, to making assertions that relate to larger social and cultural phenomena. This process is described below. </w:t>
      </w:r>
    </w:p>
    <w:p w14:paraId="7C79CEDE" w14:textId="77777777" w:rsidR="00D91945" w:rsidRPr="00156822" w:rsidRDefault="00D91945" w:rsidP="00156822">
      <w:pPr>
        <w:pStyle w:val="Heading2"/>
        <w:spacing w:before="0"/>
        <w:rPr>
          <w:rFonts w:ascii="Times New Roman" w:eastAsia="Times New Roman" w:hAnsi="Times New Roman" w:cs="Times New Roman"/>
        </w:rPr>
      </w:pPr>
      <w:r w:rsidRPr="00156822">
        <w:rPr>
          <w:rFonts w:ascii="Times New Roman" w:eastAsia="Times New Roman" w:hAnsi="Times New Roman" w:cs="Times New Roman"/>
        </w:rPr>
        <w:t>Analysis begins with coding</w:t>
      </w:r>
    </w:p>
    <w:p w14:paraId="680212D5" w14:textId="77777777" w:rsidR="00D91945" w:rsidRPr="00156822" w:rsidRDefault="00D91945" w:rsidP="00156822">
      <w:pPr>
        <w:pStyle w:val="ListParagraph"/>
        <w:ind w:left="0" w:firstLine="720"/>
        <w:rPr>
          <w:rFonts w:ascii="Times New Roman" w:eastAsia="Times New Roman" w:hAnsi="Times New Roman" w:cs="Times New Roman"/>
        </w:rPr>
      </w:pPr>
      <w:r w:rsidRPr="00156822">
        <w:rPr>
          <w:rFonts w:ascii="Times New Roman" w:eastAsia="Times New Roman" w:hAnsi="Times New Roman" w:cs="Times New Roman"/>
        </w:rPr>
        <w:t xml:space="preserve">Ethnographers Scott-Jones &amp; Watt (2010) have described ethnographic analysis as a two-stage process first involving the organizing and ordering of your data, and then the analysis proper (Scott-Jones &amp; Watt, 2010, p. 159). In their framing, </w:t>
      </w:r>
      <w:r w:rsidRPr="00156822">
        <w:rPr>
          <w:rFonts w:ascii="Times New Roman" w:eastAsia="Times New Roman" w:hAnsi="Times New Roman" w:cs="Times New Roman"/>
          <w:b/>
          <w:bCs/>
        </w:rPr>
        <w:t>coding</w:t>
      </w:r>
      <w:r w:rsidRPr="00156822">
        <w:rPr>
          <w:rFonts w:ascii="Times New Roman" w:eastAsia="Times New Roman" w:hAnsi="Times New Roman" w:cs="Times New Roman"/>
        </w:rPr>
        <w:t xml:space="preserve"> heralds the transition between these two stages. </w:t>
      </w:r>
      <w:bookmarkStart w:id="12" w:name="_Hlk31408364"/>
      <w:r w:rsidRPr="00156822">
        <w:rPr>
          <w:rFonts w:ascii="Times New Roman" w:eastAsia="Times New Roman" w:hAnsi="Times New Roman" w:cs="Times New Roman"/>
        </w:rPr>
        <w:t xml:space="preserve">Similarly, O’Reilly (2012) distinguishes between the “writing down” (i.e., collecting/recording of data) and “writing up” (i.e., presentation) phases of ethnographic research, locating analysis as the stage in between in between these two phases, although aspects of analysis are present in both stages. </w:t>
      </w:r>
    </w:p>
    <w:bookmarkEnd w:id="12"/>
    <w:p w14:paraId="32995CB5"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Despite some variation in the number of processes or stages that data analysis is broken down into, the analysis of data generally begins with the “coding cycle” that you read about in the chapter by Torres-Rivera (2019) [add link]. Torres-Rivera describes the coding process as a “repeating cycle of three phases: the coding phase, writing memos phase, and reviewing/revising/refining codes phase” (</w:t>
      </w:r>
      <w:proofErr w:type="spellStart"/>
      <w:r w:rsidRPr="00156822">
        <w:rPr>
          <w:rFonts w:ascii="Times New Roman" w:eastAsia="Times New Roman" w:hAnsi="Times New Roman" w:cs="Times New Roman"/>
        </w:rPr>
        <w:t>pg</w:t>
      </w:r>
      <w:proofErr w:type="spellEnd"/>
      <w:r w:rsidRPr="00156822">
        <w:rPr>
          <w:rFonts w:ascii="Times New Roman" w:eastAsia="Times New Roman" w:hAnsi="Times New Roman" w:cs="Times New Roman"/>
        </w:rPr>
        <w:t xml:space="preserve"> #). In this text, we decouple </w:t>
      </w:r>
      <w:r w:rsidRPr="00156822">
        <w:rPr>
          <w:rFonts w:ascii="Times New Roman" w:eastAsia="Times New Roman" w:hAnsi="Times New Roman" w:cs="Times New Roman"/>
          <w:i/>
        </w:rPr>
        <w:t>coding</w:t>
      </w:r>
      <w:r w:rsidRPr="00156822">
        <w:rPr>
          <w:rFonts w:ascii="Times New Roman" w:eastAsia="Times New Roman" w:hAnsi="Times New Roman" w:cs="Times New Roman"/>
        </w:rPr>
        <w:t xml:space="preserve"> from </w:t>
      </w:r>
      <w:r w:rsidRPr="00156822">
        <w:rPr>
          <w:rFonts w:ascii="Times New Roman" w:eastAsia="Times New Roman" w:hAnsi="Times New Roman" w:cs="Times New Roman"/>
          <w:i/>
        </w:rPr>
        <w:t>analysis</w:t>
      </w:r>
      <w:r w:rsidRPr="00156822">
        <w:rPr>
          <w:rFonts w:ascii="Times New Roman" w:eastAsia="Times New Roman" w:hAnsi="Times New Roman" w:cs="Times New Roman"/>
        </w:rPr>
        <w:t xml:space="preserve"> but really, coding is the first stage of analysis, and the line between coding and analysis is somewhat subjective. While I won’t be rehashing the material in the coding chapter, there are some important aspects of coding, particularly the </w:t>
      </w:r>
      <w:r w:rsidRPr="00156822">
        <w:rPr>
          <w:rFonts w:ascii="Times New Roman" w:eastAsia="Times New Roman" w:hAnsi="Times New Roman" w:cs="Times New Roman"/>
          <w:b/>
        </w:rPr>
        <w:t>iterative</w:t>
      </w:r>
      <w:r w:rsidRPr="00156822">
        <w:rPr>
          <w:rFonts w:ascii="Times New Roman" w:eastAsia="Times New Roman" w:hAnsi="Times New Roman" w:cs="Times New Roman"/>
        </w:rPr>
        <w:t xml:space="preserve"> as well as </w:t>
      </w:r>
      <w:r w:rsidRPr="00156822">
        <w:rPr>
          <w:rFonts w:ascii="Times New Roman" w:eastAsia="Times New Roman" w:hAnsi="Times New Roman" w:cs="Times New Roman"/>
          <w:b/>
        </w:rPr>
        <w:t>inductive</w:t>
      </w:r>
      <w:r w:rsidRPr="00156822">
        <w:rPr>
          <w:rFonts w:ascii="Times New Roman" w:eastAsia="Times New Roman" w:hAnsi="Times New Roman" w:cs="Times New Roman"/>
        </w:rPr>
        <w:t xml:space="preserve"> aspects outlined by Torres-Rivera, that are worth repeating here as they are also aspects of data analysis overall. </w:t>
      </w:r>
    </w:p>
    <w:p w14:paraId="408651BD"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O’Reilly (2012) similarly describes ethnographic research as “</w:t>
      </w:r>
      <w:r w:rsidRPr="00156822">
        <w:rPr>
          <w:rFonts w:ascii="Times New Roman" w:eastAsia="Times New Roman" w:hAnsi="Times New Roman" w:cs="Times New Roman"/>
          <w:b/>
        </w:rPr>
        <w:t>iterative-inductive</w:t>
      </w:r>
      <w:r w:rsidRPr="00156822">
        <w:rPr>
          <w:rFonts w:ascii="Times New Roman" w:eastAsia="Times New Roman" w:hAnsi="Times New Roman" w:cs="Times New Roman"/>
        </w:rPr>
        <w:t>,” that is, a “practice of doing research, informed by a sophisticated inductivism, in which data collection, analysis and writing up are not discrete phases, but inextricably linked” (p. 180). The ‘iterative’ aspect means that analysis is ongoing, resembling a spiral process rather than a circular or linear process (O’Reilly, 2012, p. 181), while the ‘inductive’ aspect means that researchers work to make general assertions from the specifics of their data. This combined “iterative-inductive” concept highlights that a researcher’s analytic choices are ongoing, informed by what they learn as they progress through the stages of the research process, from the early decision to pursue a particular research question and choice of a research design, to the identification of certain field sites and coding scheme used to organize data.</w:t>
      </w:r>
    </w:p>
    <w:p w14:paraId="7BFA8C29" w14:textId="77777777" w:rsidR="00D91945" w:rsidRPr="00156822" w:rsidRDefault="00D91945" w:rsidP="00156822">
      <w:pPr>
        <w:pStyle w:val="Heading2"/>
        <w:spacing w:before="0"/>
        <w:rPr>
          <w:rFonts w:ascii="Times New Roman" w:eastAsia="Times New Roman" w:hAnsi="Times New Roman" w:cs="Times New Roman"/>
        </w:rPr>
      </w:pPr>
      <w:r w:rsidRPr="00156822">
        <w:rPr>
          <w:rFonts w:ascii="Times New Roman" w:eastAsia="Times New Roman" w:hAnsi="Times New Roman" w:cs="Times New Roman"/>
        </w:rPr>
        <w:lastRenderedPageBreak/>
        <w:t xml:space="preserve">Thematic Analysis: </w:t>
      </w:r>
    </w:p>
    <w:p w14:paraId="55DFEC31" w14:textId="77777777" w:rsidR="00D91945" w:rsidRPr="00156822" w:rsidRDefault="00D91945" w:rsidP="00156822">
      <w:pPr>
        <w:ind w:firstLine="720"/>
        <w:rPr>
          <w:rFonts w:ascii="Times New Roman" w:eastAsia="Times New Roman" w:hAnsi="Times New Roman" w:cs="Times New Roman"/>
        </w:rPr>
      </w:pPr>
      <w:bookmarkStart w:id="13" w:name="_Hlk31408980"/>
      <w:r w:rsidRPr="00156822">
        <w:rPr>
          <w:rFonts w:ascii="Times New Roman" w:eastAsia="Times New Roman" w:hAnsi="Times New Roman" w:cs="Times New Roman"/>
        </w:rPr>
        <w:t xml:space="preserve">Codes often begin as descriptive markers of things people say (e.g., in vivo coding) or do (e.g., process coding) (Bailey, 2018, p. 161; Brewer, 2000, p. 110). To transform our coding efforts into analysis, requires that we refine our coded categories, typically through multiple rounds of the coding cycle (Madden, 2017, p. 142), leading to the identification of </w:t>
      </w:r>
      <w:r w:rsidRPr="00156822">
        <w:rPr>
          <w:rFonts w:ascii="Times New Roman" w:eastAsia="Times New Roman" w:hAnsi="Times New Roman" w:cs="Times New Roman"/>
          <w:b/>
        </w:rPr>
        <w:t>key themes</w:t>
      </w:r>
      <w:r w:rsidRPr="00156822">
        <w:rPr>
          <w:rFonts w:ascii="Times New Roman" w:eastAsia="Times New Roman" w:hAnsi="Times New Roman" w:cs="Times New Roman"/>
        </w:rPr>
        <w:t xml:space="preserve"> within your data (Brewer, 2000, p. 109; Madden, 2017; </w:t>
      </w:r>
      <w:proofErr w:type="spellStart"/>
      <w:r w:rsidRPr="00156822">
        <w:rPr>
          <w:rFonts w:ascii="Times New Roman" w:eastAsia="Times New Roman" w:hAnsi="Times New Roman" w:cs="Times New Roman"/>
        </w:rPr>
        <w:t>Saldaña</w:t>
      </w:r>
      <w:proofErr w:type="spellEnd"/>
      <w:r w:rsidRPr="00156822">
        <w:rPr>
          <w:rFonts w:ascii="Times New Roman" w:eastAsia="Times New Roman" w:hAnsi="Times New Roman" w:cs="Times New Roman"/>
        </w:rPr>
        <w:t xml:space="preserve">, 2011, p. 108; Scott-Jones &amp; Watt, 2010, p. 162). </w:t>
      </w:r>
      <w:bookmarkEnd w:id="13"/>
      <w:r w:rsidRPr="00156822">
        <w:rPr>
          <w:rFonts w:ascii="Times New Roman" w:eastAsia="Times New Roman" w:hAnsi="Times New Roman" w:cs="Times New Roman"/>
        </w:rPr>
        <w:t xml:space="preserve">While codes can develop into themes, you can also directly code your data for themes, as thematic analysis is a common method of data analysis for ethnographers and other qualitative field researchers (Bailey, 2018). Themes differ from codes in that themes are generally longer phrases that attempt to convey the </w:t>
      </w:r>
      <w:r w:rsidRPr="00156822">
        <w:rPr>
          <w:rFonts w:ascii="Times New Roman" w:eastAsia="Times New Roman" w:hAnsi="Times New Roman" w:cs="Times New Roman"/>
          <w:i/>
          <w:iCs/>
        </w:rPr>
        <w:t>manifest</w:t>
      </w:r>
      <w:r w:rsidRPr="00156822">
        <w:rPr>
          <w:rFonts w:ascii="Times New Roman" w:eastAsia="Times New Roman" w:hAnsi="Times New Roman" w:cs="Times New Roman"/>
        </w:rPr>
        <w:t xml:space="preserve"> (or apparent) meaning of data as well as the </w:t>
      </w:r>
      <w:r w:rsidRPr="00156822">
        <w:rPr>
          <w:rFonts w:ascii="Times New Roman" w:eastAsia="Times New Roman" w:hAnsi="Times New Roman" w:cs="Times New Roman"/>
          <w:i/>
          <w:iCs/>
        </w:rPr>
        <w:t>latent</w:t>
      </w:r>
      <w:r w:rsidRPr="00156822">
        <w:rPr>
          <w:rFonts w:ascii="Times New Roman" w:eastAsia="Times New Roman" w:hAnsi="Times New Roman" w:cs="Times New Roman"/>
        </w:rPr>
        <w:t xml:space="preserve"> (or underlying) meanings of data (</w:t>
      </w:r>
      <w:proofErr w:type="spellStart"/>
      <w:r w:rsidRPr="00156822">
        <w:rPr>
          <w:rFonts w:ascii="Times New Roman" w:eastAsia="Times New Roman" w:hAnsi="Times New Roman" w:cs="Times New Roman"/>
        </w:rPr>
        <w:t>Saldaña</w:t>
      </w:r>
      <w:proofErr w:type="spellEnd"/>
      <w:r w:rsidRPr="00156822">
        <w:rPr>
          <w:rFonts w:ascii="Times New Roman" w:eastAsia="Times New Roman" w:hAnsi="Times New Roman" w:cs="Times New Roman"/>
        </w:rPr>
        <w:t xml:space="preserve">, 2011, p. 108). </w:t>
      </w:r>
    </w:p>
    <w:p w14:paraId="0A74F1D7"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 xml:space="preserve">According to Madden (2017), a theme “could be a large sociological category, a group behavior, an individual behavior, an aspect of the physical setting or an observation of a mood or feeling (..)” (143). Bailey (2018) breaks down the broad category of themes into two main types: “topical” themes and “overarching” themes.  This distinction is useful because it leads us into an important task of analysis, which is </w:t>
      </w:r>
      <w:r w:rsidRPr="00156822">
        <w:rPr>
          <w:rFonts w:ascii="Times New Roman" w:eastAsia="Times New Roman" w:hAnsi="Times New Roman" w:cs="Times New Roman"/>
          <w:i/>
          <w:iCs/>
        </w:rPr>
        <w:t>conceptualization</w:t>
      </w:r>
      <w:r w:rsidRPr="00156822">
        <w:rPr>
          <w:rFonts w:ascii="Times New Roman" w:eastAsia="Times New Roman" w:hAnsi="Times New Roman" w:cs="Times New Roman"/>
        </w:rPr>
        <w:t xml:space="preserve">, which entails </w:t>
      </w:r>
      <w:r w:rsidRPr="00156822">
        <w:rPr>
          <w:rFonts w:ascii="Times New Roman" w:hAnsi="Times New Roman" w:cs="Times New Roman"/>
        </w:rPr>
        <w:t xml:space="preserve">moving codes </w:t>
      </w:r>
      <w:r w:rsidRPr="00156822">
        <w:rPr>
          <w:rFonts w:ascii="Times New Roman" w:eastAsia="Times New Roman" w:hAnsi="Times New Roman" w:cs="Times New Roman"/>
        </w:rPr>
        <w:t xml:space="preserve">from </w:t>
      </w:r>
      <w:proofErr w:type="gramStart"/>
      <w:r w:rsidRPr="00156822">
        <w:rPr>
          <w:rFonts w:ascii="Times New Roman" w:eastAsia="Times New Roman" w:hAnsi="Times New Roman" w:cs="Times New Roman"/>
        </w:rPr>
        <w:t>particular and</w:t>
      </w:r>
      <w:proofErr w:type="gramEnd"/>
      <w:r w:rsidRPr="00156822">
        <w:rPr>
          <w:rFonts w:ascii="Times New Roman" w:eastAsia="Times New Roman" w:hAnsi="Times New Roman" w:cs="Times New Roman"/>
        </w:rPr>
        <w:t xml:space="preserve"> concrete actions, to a more </w:t>
      </w:r>
      <w:r w:rsidRPr="00156822">
        <w:rPr>
          <w:rFonts w:ascii="Times New Roman" w:hAnsi="Times New Roman" w:cs="Times New Roman"/>
        </w:rPr>
        <w:t xml:space="preserve">abstract level of concepts and ideas (Bailey, 2018, p. 165). Conceptualization allows us to later build connections to theory, which in EOW, are typically theories of work and economy. </w:t>
      </w:r>
      <w:r w:rsidRPr="00156822">
        <w:rPr>
          <w:rFonts w:ascii="Times New Roman" w:eastAsia="Times New Roman" w:hAnsi="Times New Roman" w:cs="Times New Roman"/>
        </w:rPr>
        <w:t xml:space="preserve">Overarching themes require us to zoom out from the specifics of what people say and do (as captured in codes and topical themes), to highlight those ideas or concepts that these words and actions suggest or represent in overarching themes. </w:t>
      </w:r>
    </w:p>
    <w:p w14:paraId="436E7702" w14:textId="77777777" w:rsidR="00D91945" w:rsidRPr="00156822" w:rsidRDefault="00D91945" w:rsidP="00156822">
      <w:pPr>
        <w:rPr>
          <w:rFonts w:ascii="Times New Roman" w:eastAsia="Times New Roman" w:hAnsi="Times New Roman" w:cs="Times New Roman"/>
        </w:rPr>
      </w:pPr>
      <w:r w:rsidRPr="00156822">
        <w:rPr>
          <w:rFonts w:ascii="Times New Roman" w:eastAsia="Times New Roman" w:hAnsi="Times New Roman" w:cs="Times New Roman"/>
        </w:rPr>
        <w:tab/>
        <w:t xml:space="preserve">Themes exist in every film you’ve ever seen and in every book you’ve ever read. You enjoy specific scenes, characters, plot twists and dialogue, but those specific things are not what the movie is about. When describing a film, we do so in terms of what it means and the messages it conveys: a ‘coming of age story,’ a story of ‘love and loss,’ a story of ‘redemption,’ of ‘moral reckoning,’ of ‘cultural annihilation.’ These broad concepts are versions of overarching themes. We can assign overarching themes to our data as well, though it is rarely a straightforward process and often more than one theme could be assigned. To uncover the overarching themes in a specific piece of data, such as an interview or set of field notes, imagine tweeting or texting its meaning to your social network. How would you summarize the underlying message or meaning of that form of data, in a just sentence or two? To do that, you would have to follow the process below. </w:t>
      </w:r>
    </w:p>
    <w:p w14:paraId="7FD86083" w14:textId="77777777" w:rsidR="00D91945" w:rsidRPr="00156822" w:rsidRDefault="00D91945" w:rsidP="00156822">
      <w:pPr>
        <w:pStyle w:val="Heading2"/>
        <w:spacing w:before="0"/>
        <w:rPr>
          <w:rFonts w:ascii="Times New Roman" w:eastAsia="Times New Roman" w:hAnsi="Times New Roman" w:cs="Times New Roman"/>
        </w:rPr>
      </w:pPr>
      <w:r w:rsidRPr="00156822">
        <w:rPr>
          <w:rFonts w:ascii="Times New Roman" w:eastAsia="Times New Roman" w:hAnsi="Times New Roman" w:cs="Times New Roman"/>
        </w:rPr>
        <w:t xml:space="preserve">How we identify themes: </w:t>
      </w:r>
    </w:p>
    <w:p w14:paraId="2AFB8B29" w14:textId="77777777" w:rsidR="00D91945" w:rsidRPr="00156822" w:rsidRDefault="00D91945" w:rsidP="00156822">
      <w:pPr>
        <w:ind w:firstLine="360"/>
        <w:rPr>
          <w:rFonts w:ascii="Times New Roman" w:eastAsia="Times New Roman" w:hAnsi="Times New Roman" w:cs="Times New Roman"/>
        </w:rPr>
      </w:pPr>
      <w:r w:rsidRPr="00156822">
        <w:rPr>
          <w:rFonts w:ascii="Times New Roman" w:eastAsia="Times New Roman" w:hAnsi="Times New Roman" w:cs="Times New Roman"/>
        </w:rPr>
        <w:t>While</w:t>
      </w:r>
      <w:bookmarkStart w:id="14" w:name="_Hlk31545491"/>
      <w:r w:rsidRPr="00156822">
        <w:rPr>
          <w:rFonts w:ascii="Times New Roman" w:eastAsia="Times New Roman" w:hAnsi="Times New Roman" w:cs="Times New Roman"/>
        </w:rPr>
        <w:t xml:space="preserve"> “there is no universal template” for the process of identifying themes (Madden, 2017, p. 145), </w:t>
      </w:r>
      <w:bookmarkEnd w:id="14"/>
      <w:r w:rsidRPr="00156822">
        <w:rPr>
          <w:rFonts w:ascii="Times New Roman" w:eastAsia="Times New Roman" w:hAnsi="Times New Roman" w:cs="Times New Roman"/>
        </w:rPr>
        <w:t xml:space="preserve">there are a number of commonly accepted strategies for identifying key themes in your data, including by taking note of how often certain codes or themes show up in the various forms of your data (Bailey, 2018, p. 188; Murchison, 2010, p. 116). Those that show up more frequently warrant consideration because the more that something is observed or spoken about, the greater its potential relevance and impact on the lives you are studying. More than two occurrences in the data also presents a pattern open for interpretation, potentially giving us more information about our research question. This does not mean that </w:t>
      </w:r>
      <w:r w:rsidRPr="00156822">
        <w:rPr>
          <w:rFonts w:ascii="Times New Roman" w:eastAsia="Times New Roman" w:hAnsi="Times New Roman" w:cs="Times New Roman"/>
          <w:i/>
          <w:iCs/>
        </w:rPr>
        <w:t>every</w:t>
      </w:r>
      <w:r w:rsidRPr="00156822">
        <w:rPr>
          <w:rFonts w:ascii="Times New Roman" w:eastAsia="Times New Roman" w:hAnsi="Times New Roman" w:cs="Times New Roman"/>
        </w:rPr>
        <w:t xml:space="preserve"> phenomenon that happens more than once represents a pattern, or a useful pattern relevant to our research question – a reoccurrence may simply be a coincidence or due to random chance. Still, frequency is an important flag for potential themes. </w:t>
      </w:r>
    </w:p>
    <w:p w14:paraId="0F166A41" w14:textId="77777777" w:rsidR="00D91945" w:rsidRPr="00156822" w:rsidRDefault="00D91945" w:rsidP="00156822">
      <w:pPr>
        <w:ind w:firstLine="360"/>
        <w:rPr>
          <w:rFonts w:ascii="Times New Roman" w:hAnsi="Times New Roman" w:cs="Times New Roman"/>
        </w:rPr>
      </w:pPr>
      <w:r w:rsidRPr="00156822">
        <w:rPr>
          <w:rFonts w:ascii="Times New Roman" w:hAnsi="Times New Roman" w:cs="Times New Roman"/>
        </w:rPr>
        <w:t xml:space="preserve">A fieldwork activity that I assign in my Ethnographies of Work course illustrates this process. Students briefly interviewed seasonal workers at a large holiday market. After collecting </w:t>
      </w:r>
      <w:r w:rsidRPr="00156822">
        <w:rPr>
          <w:rFonts w:ascii="Times New Roman" w:hAnsi="Times New Roman" w:cs="Times New Roman"/>
        </w:rPr>
        <w:lastRenderedPageBreak/>
        <w:t xml:space="preserve">student responses to this assignment over the course of a few semesters, I identified the following recurring </w:t>
      </w:r>
      <w:r w:rsidRPr="00156822">
        <w:rPr>
          <w:rFonts w:ascii="Times New Roman" w:eastAsia="Times New Roman" w:hAnsi="Times New Roman" w:cs="Times New Roman"/>
        </w:rPr>
        <w:t xml:space="preserve">themes. </w:t>
      </w:r>
    </w:p>
    <w:p w14:paraId="69F70897" w14:textId="77777777" w:rsidR="00D91945" w:rsidRPr="00156822" w:rsidRDefault="00D91945" w:rsidP="00156822">
      <w:pPr>
        <w:rPr>
          <w:rFonts w:ascii="Times New Roman" w:eastAsia="Times New Roman" w:hAnsi="Times New Roman" w:cs="Times New Roman"/>
        </w:rPr>
      </w:pPr>
      <w:r w:rsidRPr="00156822">
        <w:rPr>
          <w:rFonts w:ascii="Times New Roman" w:hAnsi="Times New Roman" w:cs="Times New Roman"/>
          <w:b/>
        </w:rPr>
        <w:t>“One thing you learned about seasonal workers at a holiday market?”</w:t>
      </w:r>
    </w:p>
    <w:p w14:paraId="451185E9"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Seasonal workers</w:t>
      </w:r>
      <w:r w:rsidRPr="00156822">
        <w:rPr>
          <w:rFonts w:ascii="Times New Roman" w:eastAsia="Times New Roman" w:hAnsi="Times New Roman" w:cs="Times New Roman"/>
        </w:rPr>
        <w:t>: work long hours and most days</w:t>
      </w:r>
    </w:p>
    <w:p w14:paraId="4C4B1B8D"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 xml:space="preserve">Seasonal work </w:t>
      </w:r>
      <w:proofErr w:type="gramStart"/>
      <w:r w:rsidRPr="00156822">
        <w:rPr>
          <w:rFonts w:ascii="Times New Roman" w:eastAsia="Times New Roman" w:hAnsi="Times New Roman" w:cs="Times New Roman"/>
          <w:i/>
          <w:iCs/>
        </w:rPr>
        <w:t>is:</w:t>
      </w:r>
      <w:proofErr w:type="gramEnd"/>
      <w:r w:rsidRPr="00156822">
        <w:rPr>
          <w:rFonts w:ascii="Times New Roman" w:eastAsia="Times New Roman" w:hAnsi="Times New Roman" w:cs="Times New Roman"/>
          <w:i/>
          <w:iCs/>
        </w:rPr>
        <w:t xml:space="preserve"> </w:t>
      </w:r>
      <w:r w:rsidRPr="00156822">
        <w:rPr>
          <w:rFonts w:ascii="Times New Roman" w:eastAsia="Times New Roman" w:hAnsi="Times New Roman" w:cs="Times New Roman"/>
        </w:rPr>
        <w:t>fast paced &amp; high volume</w:t>
      </w:r>
    </w:p>
    <w:p w14:paraId="786CDD3D" w14:textId="77777777" w:rsidR="00D91945" w:rsidRPr="00156822" w:rsidRDefault="00D91945" w:rsidP="00156822">
      <w:pPr>
        <w:pStyle w:val="ListParagraph"/>
        <w:tabs>
          <w:tab w:val="left" w:pos="5310"/>
        </w:tabs>
        <w:rPr>
          <w:rFonts w:ascii="Times New Roman" w:eastAsia="Times New Roman" w:hAnsi="Times New Roman" w:cs="Times New Roman"/>
        </w:rPr>
      </w:pPr>
      <w:r w:rsidRPr="00156822">
        <w:rPr>
          <w:rFonts w:ascii="Times New Roman" w:eastAsia="Times New Roman" w:hAnsi="Times New Roman" w:cs="Times New Roman"/>
          <w:i/>
          <w:iCs/>
        </w:rPr>
        <w:t xml:space="preserve">Seasonal work is: </w:t>
      </w:r>
      <w:r w:rsidRPr="00156822">
        <w:rPr>
          <w:rFonts w:ascii="Times New Roman" w:eastAsia="Times New Roman" w:hAnsi="Times New Roman" w:cs="Times New Roman"/>
        </w:rPr>
        <w:t>Short-term/temporary</w:t>
      </w:r>
    </w:p>
    <w:p w14:paraId="03707862"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Seasonal workers:</w:t>
      </w:r>
      <w:r w:rsidRPr="00156822">
        <w:rPr>
          <w:rFonts w:ascii="Times New Roman" w:eastAsia="Times New Roman" w:hAnsi="Times New Roman" w:cs="Times New Roman"/>
        </w:rPr>
        <w:t xml:space="preserve"> enjoy interacting with diverse &amp; international customers </w:t>
      </w:r>
    </w:p>
    <w:p w14:paraId="0CC6E799"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Seasonal workers:</w:t>
      </w:r>
      <w:r w:rsidRPr="00156822">
        <w:rPr>
          <w:rFonts w:ascii="Times New Roman" w:eastAsia="Times New Roman" w:hAnsi="Times New Roman" w:cs="Times New Roman"/>
        </w:rPr>
        <w:t xml:space="preserve"> enjoy the bustling park environment </w:t>
      </w:r>
    </w:p>
    <w:p w14:paraId="45AFA190"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 xml:space="preserve">Seasonal workers: </w:t>
      </w:r>
      <w:r w:rsidRPr="00156822">
        <w:rPr>
          <w:rFonts w:ascii="Times New Roman" w:eastAsia="Times New Roman" w:hAnsi="Times New Roman" w:cs="Times New Roman"/>
          <w:iCs/>
        </w:rPr>
        <w:t>e</w:t>
      </w:r>
      <w:r w:rsidRPr="00156822">
        <w:rPr>
          <w:rFonts w:ascii="Times New Roman" w:eastAsia="Times New Roman" w:hAnsi="Times New Roman" w:cs="Times New Roman"/>
        </w:rPr>
        <w:t xml:space="preserve">njoy their jobs and work </w:t>
      </w:r>
    </w:p>
    <w:p w14:paraId="7DD5E800"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Seasonal work:</w:t>
      </w:r>
      <w:r w:rsidRPr="00156822">
        <w:rPr>
          <w:rFonts w:ascii="Times New Roman" w:eastAsia="Times New Roman" w:hAnsi="Times New Roman" w:cs="Times New Roman"/>
        </w:rPr>
        <w:t xml:space="preserve"> Is often a ‘side’ job rather than a main/only source of income</w:t>
      </w:r>
    </w:p>
    <w:p w14:paraId="12324E46"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 xml:space="preserve">Seasonal workers: </w:t>
      </w:r>
      <w:r w:rsidRPr="00156822">
        <w:rPr>
          <w:rFonts w:ascii="Times New Roman" w:eastAsia="Times New Roman" w:hAnsi="Times New Roman" w:cs="Times New Roman"/>
          <w:iCs/>
        </w:rPr>
        <w:t xml:space="preserve">sometimes relied on </w:t>
      </w:r>
      <w:r w:rsidRPr="00156822">
        <w:rPr>
          <w:rFonts w:ascii="Times New Roman" w:eastAsia="Times New Roman" w:hAnsi="Times New Roman" w:cs="Times New Roman"/>
        </w:rPr>
        <w:t>personal contacts to get the job</w:t>
      </w:r>
    </w:p>
    <w:p w14:paraId="2EF19A17" w14:textId="77777777" w:rsidR="00D91945" w:rsidRPr="00156822" w:rsidRDefault="00D91945" w:rsidP="00156822">
      <w:pPr>
        <w:pStyle w:val="Heading3"/>
        <w:spacing w:before="0"/>
        <w:rPr>
          <w:rFonts w:ascii="Times New Roman" w:eastAsia="Times New Roman" w:hAnsi="Times New Roman" w:cs="Times New Roman"/>
        </w:rPr>
      </w:pPr>
      <w:r w:rsidRPr="00156822">
        <w:rPr>
          <w:rFonts w:ascii="Times New Roman" w:eastAsia="Times New Roman" w:hAnsi="Times New Roman" w:cs="Times New Roman"/>
        </w:rPr>
        <w:t>Organizing your themes</w:t>
      </w:r>
    </w:p>
    <w:p w14:paraId="05B122D9"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Because these themes remain at the material level of what workers said and/or do, these are considered “topical” themes representing the apparent meaning, rather than representing overarching (i.e., more conceptual) themes (Bailey, 2018) addressing the latent meaning (</w:t>
      </w:r>
      <w:proofErr w:type="spellStart"/>
      <w:r w:rsidRPr="00156822">
        <w:rPr>
          <w:rFonts w:ascii="Times New Roman" w:eastAsia="Times New Roman" w:hAnsi="Times New Roman" w:cs="Times New Roman"/>
        </w:rPr>
        <w:t>Saldaña</w:t>
      </w:r>
      <w:proofErr w:type="spellEnd"/>
      <w:r w:rsidRPr="00156822">
        <w:rPr>
          <w:rFonts w:ascii="Times New Roman" w:eastAsia="Times New Roman" w:hAnsi="Times New Roman" w:cs="Times New Roman"/>
        </w:rPr>
        <w:t xml:space="preserve">, 2011). To move topical themes to the conceptual level of overarching themes, we will need to interpret the underlying meaning that these themes embody. There is no easy recipe for such conceptualizing. However, at this point, you may notice that some coded categories cluster together because they are related in some way. </w:t>
      </w:r>
    </w:p>
    <w:p w14:paraId="7792A509" w14:textId="77777777" w:rsidR="00D91945" w:rsidRPr="00156822" w:rsidRDefault="00D91945" w:rsidP="00156822">
      <w:pPr>
        <w:rPr>
          <w:rFonts w:ascii="Times New Roman" w:eastAsia="Times New Roman" w:hAnsi="Times New Roman" w:cs="Times New Roman"/>
        </w:rPr>
      </w:pPr>
      <w:r w:rsidRPr="00156822">
        <w:rPr>
          <w:rFonts w:ascii="Times New Roman" w:hAnsi="Times New Roman" w:cs="Times New Roman"/>
          <w:b/>
        </w:rPr>
        <w:t>Revised themes: “One thing you learned about seasonal workers at a holiday market?”</w:t>
      </w:r>
    </w:p>
    <w:p w14:paraId="4FD2520A" w14:textId="77777777" w:rsidR="00D91945" w:rsidRPr="00156822" w:rsidRDefault="00D91945" w:rsidP="00156822">
      <w:pPr>
        <w:pStyle w:val="ListParagraph"/>
        <w:rPr>
          <w:rFonts w:ascii="Times New Roman" w:eastAsia="Times New Roman" w:hAnsi="Times New Roman" w:cs="Times New Roman"/>
          <w:b/>
          <w:bCs/>
        </w:rPr>
      </w:pPr>
      <w:r w:rsidRPr="00156822">
        <w:rPr>
          <w:rFonts w:ascii="Times New Roman" w:eastAsia="Times New Roman" w:hAnsi="Times New Roman" w:cs="Times New Roman"/>
          <w:b/>
          <w:bCs/>
        </w:rPr>
        <w:t>JOB QUALITIES:</w:t>
      </w:r>
    </w:p>
    <w:p w14:paraId="52A22891" w14:textId="77777777" w:rsidR="00D91945" w:rsidRPr="00156822" w:rsidRDefault="00D91945" w:rsidP="00156822">
      <w:pPr>
        <w:pStyle w:val="ListParagraph"/>
        <w:numPr>
          <w:ilvl w:val="0"/>
          <w:numId w:val="46"/>
        </w:numPr>
        <w:rPr>
          <w:rFonts w:ascii="Times New Roman" w:eastAsia="Times New Roman" w:hAnsi="Times New Roman" w:cs="Times New Roman"/>
        </w:rPr>
      </w:pPr>
      <w:r w:rsidRPr="00156822">
        <w:rPr>
          <w:rFonts w:ascii="Times New Roman" w:eastAsia="Times New Roman" w:hAnsi="Times New Roman" w:cs="Times New Roman"/>
          <w:i/>
          <w:iCs/>
        </w:rPr>
        <w:t>Seasonal workers</w:t>
      </w:r>
      <w:r w:rsidRPr="00156822">
        <w:rPr>
          <w:rFonts w:ascii="Times New Roman" w:eastAsia="Times New Roman" w:hAnsi="Times New Roman" w:cs="Times New Roman"/>
        </w:rPr>
        <w:t>: work long hours and most days</w:t>
      </w:r>
    </w:p>
    <w:p w14:paraId="31FB21D6" w14:textId="77777777" w:rsidR="00D91945" w:rsidRPr="00156822" w:rsidRDefault="00D91945" w:rsidP="00156822">
      <w:pPr>
        <w:pStyle w:val="ListParagraph"/>
        <w:numPr>
          <w:ilvl w:val="0"/>
          <w:numId w:val="46"/>
        </w:numPr>
        <w:rPr>
          <w:rFonts w:ascii="Times New Roman" w:eastAsia="Times New Roman" w:hAnsi="Times New Roman" w:cs="Times New Roman"/>
        </w:rPr>
      </w:pPr>
      <w:r w:rsidRPr="00156822">
        <w:rPr>
          <w:rFonts w:ascii="Times New Roman" w:eastAsia="Times New Roman" w:hAnsi="Times New Roman" w:cs="Times New Roman"/>
          <w:i/>
          <w:iCs/>
        </w:rPr>
        <w:t xml:space="preserve">Seasonal work </w:t>
      </w:r>
      <w:proofErr w:type="gramStart"/>
      <w:r w:rsidRPr="00156822">
        <w:rPr>
          <w:rFonts w:ascii="Times New Roman" w:eastAsia="Times New Roman" w:hAnsi="Times New Roman" w:cs="Times New Roman"/>
          <w:i/>
          <w:iCs/>
        </w:rPr>
        <w:t>is:</w:t>
      </w:r>
      <w:proofErr w:type="gramEnd"/>
      <w:r w:rsidRPr="00156822">
        <w:rPr>
          <w:rFonts w:ascii="Times New Roman" w:eastAsia="Times New Roman" w:hAnsi="Times New Roman" w:cs="Times New Roman"/>
        </w:rPr>
        <w:t xml:space="preserve"> fast paced &amp; high volume</w:t>
      </w:r>
    </w:p>
    <w:p w14:paraId="0A4DDC72" w14:textId="77777777" w:rsidR="00D91945" w:rsidRPr="00156822" w:rsidRDefault="00D91945" w:rsidP="00156822">
      <w:pPr>
        <w:pStyle w:val="ListParagraph"/>
        <w:numPr>
          <w:ilvl w:val="0"/>
          <w:numId w:val="46"/>
        </w:numPr>
        <w:tabs>
          <w:tab w:val="left" w:pos="5310"/>
        </w:tabs>
        <w:rPr>
          <w:rFonts w:ascii="Times New Roman" w:eastAsia="Times New Roman" w:hAnsi="Times New Roman" w:cs="Times New Roman"/>
        </w:rPr>
      </w:pPr>
      <w:r w:rsidRPr="00156822">
        <w:rPr>
          <w:rFonts w:ascii="Times New Roman" w:eastAsia="Times New Roman" w:hAnsi="Times New Roman" w:cs="Times New Roman"/>
          <w:i/>
          <w:iCs/>
        </w:rPr>
        <w:t xml:space="preserve">Seasonal work is: </w:t>
      </w:r>
      <w:r w:rsidRPr="00156822">
        <w:rPr>
          <w:rFonts w:ascii="Times New Roman" w:eastAsia="Times New Roman" w:hAnsi="Times New Roman" w:cs="Times New Roman"/>
        </w:rPr>
        <w:t>Short-term/temporary</w:t>
      </w:r>
    </w:p>
    <w:p w14:paraId="680EC2C0" w14:textId="77777777" w:rsidR="00D91945" w:rsidRPr="00156822" w:rsidRDefault="00D91945" w:rsidP="00156822">
      <w:pPr>
        <w:pStyle w:val="ListParagraph"/>
        <w:rPr>
          <w:rFonts w:ascii="Times New Roman" w:eastAsia="Times New Roman" w:hAnsi="Times New Roman" w:cs="Times New Roman"/>
          <w:b/>
          <w:bCs/>
        </w:rPr>
      </w:pPr>
      <w:r w:rsidRPr="00156822">
        <w:rPr>
          <w:rFonts w:ascii="Times New Roman" w:eastAsia="Times New Roman" w:hAnsi="Times New Roman" w:cs="Times New Roman"/>
          <w:b/>
          <w:bCs/>
        </w:rPr>
        <w:t>FEELINGS ABOUT THE JOB:</w:t>
      </w:r>
    </w:p>
    <w:p w14:paraId="19522894" w14:textId="77777777" w:rsidR="00D91945" w:rsidRPr="00156822" w:rsidRDefault="00D91945" w:rsidP="00156822">
      <w:pPr>
        <w:pStyle w:val="ListParagraph"/>
        <w:numPr>
          <w:ilvl w:val="0"/>
          <w:numId w:val="47"/>
        </w:numPr>
        <w:rPr>
          <w:rFonts w:ascii="Times New Roman" w:eastAsia="Times New Roman" w:hAnsi="Times New Roman" w:cs="Times New Roman"/>
        </w:rPr>
      </w:pPr>
      <w:r w:rsidRPr="00156822">
        <w:rPr>
          <w:rFonts w:ascii="Times New Roman" w:eastAsia="Times New Roman" w:hAnsi="Times New Roman" w:cs="Times New Roman"/>
          <w:i/>
          <w:iCs/>
        </w:rPr>
        <w:t>Seasonal workers:</w:t>
      </w:r>
      <w:r w:rsidRPr="00156822">
        <w:rPr>
          <w:rFonts w:ascii="Times New Roman" w:eastAsia="Times New Roman" w:hAnsi="Times New Roman" w:cs="Times New Roman"/>
        </w:rPr>
        <w:t xml:space="preserve"> enjoy interacting with diverse &amp; international customers </w:t>
      </w:r>
    </w:p>
    <w:p w14:paraId="7FEB6DA9" w14:textId="77777777" w:rsidR="00D91945" w:rsidRPr="00156822" w:rsidRDefault="00D91945" w:rsidP="00156822">
      <w:pPr>
        <w:pStyle w:val="ListParagraph"/>
        <w:numPr>
          <w:ilvl w:val="0"/>
          <w:numId w:val="47"/>
        </w:numPr>
        <w:rPr>
          <w:rFonts w:ascii="Times New Roman" w:eastAsia="Times New Roman" w:hAnsi="Times New Roman" w:cs="Times New Roman"/>
        </w:rPr>
      </w:pPr>
      <w:r w:rsidRPr="00156822">
        <w:rPr>
          <w:rFonts w:ascii="Times New Roman" w:eastAsia="Times New Roman" w:hAnsi="Times New Roman" w:cs="Times New Roman"/>
          <w:i/>
          <w:iCs/>
        </w:rPr>
        <w:t>Seasonal workers:</w:t>
      </w:r>
      <w:r w:rsidRPr="00156822">
        <w:rPr>
          <w:rFonts w:ascii="Times New Roman" w:eastAsia="Times New Roman" w:hAnsi="Times New Roman" w:cs="Times New Roman"/>
        </w:rPr>
        <w:t xml:space="preserve"> enjoy the bustling park environment</w:t>
      </w:r>
    </w:p>
    <w:p w14:paraId="05DAD992" w14:textId="77777777" w:rsidR="00D91945" w:rsidRPr="00156822" w:rsidRDefault="00D91945" w:rsidP="00156822">
      <w:pPr>
        <w:pStyle w:val="ListParagraph"/>
        <w:numPr>
          <w:ilvl w:val="0"/>
          <w:numId w:val="47"/>
        </w:numPr>
        <w:rPr>
          <w:rFonts w:ascii="Times New Roman" w:eastAsia="Times New Roman" w:hAnsi="Times New Roman" w:cs="Times New Roman"/>
        </w:rPr>
      </w:pPr>
      <w:r w:rsidRPr="00156822">
        <w:rPr>
          <w:rFonts w:ascii="Times New Roman" w:eastAsia="Times New Roman" w:hAnsi="Times New Roman" w:cs="Times New Roman"/>
          <w:i/>
          <w:iCs/>
        </w:rPr>
        <w:t xml:space="preserve">Seasonal workers: </w:t>
      </w:r>
      <w:r w:rsidRPr="00156822">
        <w:rPr>
          <w:rFonts w:ascii="Times New Roman" w:eastAsia="Times New Roman" w:hAnsi="Times New Roman" w:cs="Times New Roman"/>
          <w:iCs/>
        </w:rPr>
        <w:t>e</w:t>
      </w:r>
      <w:r w:rsidRPr="00156822">
        <w:rPr>
          <w:rFonts w:ascii="Times New Roman" w:eastAsia="Times New Roman" w:hAnsi="Times New Roman" w:cs="Times New Roman"/>
        </w:rPr>
        <w:t xml:space="preserve">njoy their jobs and work </w:t>
      </w:r>
    </w:p>
    <w:p w14:paraId="37D95C2E"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bCs/>
        </w:rPr>
        <w:t>SIDE JOB:</w:t>
      </w:r>
      <w:r w:rsidRPr="00156822">
        <w:rPr>
          <w:rFonts w:ascii="Times New Roman" w:eastAsia="Times New Roman" w:hAnsi="Times New Roman" w:cs="Times New Roman"/>
        </w:rPr>
        <w:t xml:space="preserve"> </w:t>
      </w:r>
    </w:p>
    <w:p w14:paraId="28B215A6" w14:textId="77777777" w:rsidR="00D91945" w:rsidRPr="00156822" w:rsidRDefault="00D91945" w:rsidP="00156822">
      <w:pPr>
        <w:pStyle w:val="ListParagraph"/>
        <w:numPr>
          <w:ilvl w:val="0"/>
          <w:numId w:val="48"/>
        </w:numPr>
        <w:rPr>
          <w:rFonts w:ascii="Times New Roman" w:eastAsia="Times New Roman" w:hAnsi="Times New Roman" w:cs="Times New Roman"/>
        </w:rPr>
      </w:pPr>
      <w:r w:rsidRPr="00156822">
        <w:rPr>
          <w:rFonts w:ascii="Times New Roman" w:eastAsia="Times New Roman" w:hAnsi="Times New Roman" w:cs="Times New Roman"/>
          <w:i/>
          <w:iCs/>
        </w:rPr>
        <w:t>Seasonal work:</w:t>
      </w:r>
      <w:r w:rsidRPr="00156822">
        <w:rPr>
          <w:rFonts w:ascii="Times New Roman" w:eastAsia="Times New Roman" w:hAnsi="Times New Roman" w:cs="Times New Roman"/>
        </w:rPr>
        <w:t xml:space="preserve"> Is often a ‘side’ job rather than a main income source</w:t>
      </w:r>
    </w:p>
    <w:p w14:paraId="52F538FA" w14:textId="77777777" w:rsidR="00D91945" w:rsidRPr="00156822" w:rsidRDefault="00D91945" w:rsidP="00156822">
      <w:pPr>
        <w:pStyle w:val="ListParagraph"/>
        <w:rPr>
          <w:rFonts w:ascii="Times New Roman" w:eastAsia="Times New Roman" w:hAnsi="Times New Roman" w:cs="Times New Roman"/>
          <w:bCs/>
        </w:rPr>
      </w:pPr>
      <w:r w:rsidRPr="00156822">
        <w:rPr>
          <w:rFonts w:ascii="Times New Roman" w:eastAsia="Times New Roman" w:hAnsi="Times New Roman" w:cs="Times New Roman"/>
          <w:bCs/>
        </w:rPr>
        <w:t>NETWORKING:</w:t>
      </w:r>
    </w:p>
    <w:p w14:paraId="2497A716" w14:textId="77777777" w:rsidR="00D91945" w:rsidRPr="00156822" w:rsidRDefault="00D91945" w:rsidP="00156822">
      <w:pPr>
        <w:pStyle w:val="ListParagraph"/>
        <w:numPr>
          <w:ilvl w:val="0"/>
          <w:numId w:val="48"/>
        </w:numPr>
        <w:rPr>
          <w:rFonts w:ascii="Times New Roman" w:eastAsia="Times New Roman" w:hAnsi="Times New Roman" w:cs="Times New Roman"/>
        </w:rPr>
      </w:pPr>
      <w:r w:rsidRPr="00156822">
        <w:rPr>
          <w:rFonts w:ascii="Times New Roman" w:eastAsia="Times New Roman" w:hAnsi="Times New Roman" w:cs="Times New Roman"/>
          <w:i/>
          <w:iCs/>
        </w:rPr>
        <w:t xml:space="preserve">Seasonal workers: </w:t>
      </w:r>
      <w:r w:rsidRPr="00156822">
        <w:rPr>
          <w:rFonts w:ascii="Times New Roman" w:eastAsia="Times New Roman" w:hAnsi="Times New Roman" w:cs="Times New Roman"/>
          <w:iCs/>
        </w:rPr>
        <w:t xml:space="preserve">sometimes relied on </w:t>
      </w:r>
      <w:r w:rsidRPr="00156822">
        <w:rPr>
          <w:rFonts w:ascii="Times New Roman" w:eastAsia="Times New Roman" w:hAnsi="Times New Roman" w:cs="Times New Roman"/>
        </w:rPr>
        <w:t>personal contacts to get the job</w:t>
      </w:r>
    </w:p>
    <w:p w14:paraId="68F1CFC8" w14:textId="77777777" w:rsidR="00D91945" w:rsidRPr="00156822" w:rsidRDefault="00D91945" w:rsidP="00156822">
      <w:pPr>
        <w:rPr>
          <w:rFonts w:ascii="Times New Roman" w:eastAsia="Times New Roman" w:hAnsi="Times New Roman" w:cs="Times New Roman"/>
        </w:rPr>
      </w:pPr>
    </w:p>
    <w:p w14:paraId="1FBD0EDD"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 xml:space="preserve">Intentionally organizing related categories into an outline format of superordinate and subordinate categories, or into </w:t>
      </w:r>
      <w:r w:rsidRPr="00156822">
        <w:rPr>
          <w:rFonts w:ascii="Times New Roman" w:eastAsia="Times New Roman" w:hAnsi="Times New Roman" w:cs="Times New Roman"/>
          <w:b/>
          <w:bCs/>
        </w:rPr>
        <w:t>hierarchies of significance</w:t>
      </w:r>
      <w:r w:rsidRPr="00156822">
        <w:rPr>
          <w:rFonts w:ascii="Times New Roman" w:eastAsia="Times New Roman" w:hAnsi="Times New Roman" w:cs="Times New Roman"/>
        </w:rPr>
        <w:t xml:space="preserve"> based on the relative importance of the concept, is a useful way to more finely understand specific phenomena, behavior, or experiences (</w:t>
      </w:r>
      <w:proofErr w:type="spellStart"/>
      <w:r w:rsidRPr="00156822">
        <w:rPr>
          <w:rFonts w:ascii="Times New Roman" w:eastAsia="Times New Roman" w:hAnsi="Times New Roman" w:cs="Times New Roman"/>
        </w:rPr>
        <w:t>Saldaña</w:t>
      </w:r>
      <w:proofErr w:type="spellEnd"/>
      <w:r w:rsidRPr="00156822">
        <w:rPr>
          <w:rFonts w:ascii="Times New Roman" w:eastAsia="Times New Roman" w:hAnsi="Times New Roman" w:cs="Times New Roman"/>
        </w:rPr>
        <w:t xml:space="preserve">, 2011, p. 108). Creating a </w:t>
      </w:r>
      <w:r w:rsidRPr="00156822">
        <w:rPr>
          <w:rFonts w:ascii="Times New Roman" w:eastAsia="Times New Roman" w:hAnsi="Times New Roman" w:cs="Times New Roman"/>
          <w:b/>
        </w:rPr>
        <w:t>“hierarchy of significance”</w:t>
      </w:r>
      <w:r w:rsidRPr="00156822">
        <w:rPr>
          <w:rFonts w:ascii="Times New Roman" w:eastAsia="Times New Roman" w:hAnsi="Times New Roman" w:cs="Times New Roman"/>
        </w:rPr>
        <w:t xml:space="preserve"> (Scott-Jones &amp; Watt, 2010, p. 162) will allow us to consider how such coded categories are related and how they possibly interact (</w:t>
      </w:r>
      <w:proofErr w:type="spellStart"/>
      <w:r w:rsidRPr="00156822">
        <w:rPr>
          <w:rFonts w:ascii="Times New Roman" w:eastAsia="Times New Roman" w:hAnsi="Times New Roman" w:cs="Times New Roman"/>
        </w:rPr>
        <w:t>Saldaña</w:t>
      </w:r>
      <w:proofErr w:type="spellEnd"/>
      <w:r w:rsidRPr="00156822">
        <w:rPr>
          <w:rFonts w:ascii="Times New Roman" w:eastAsia="Times New Roman" w:hAnsi="Times New Roman" w:cs="Times New Roman"/>
        </w:rPr>
        <w:t xml:space="preserve">, 2011, p. 98). I have thus grouped the topical themes (above) into four categories, with the first two being primary categories based on their prominence in the data, and that make the most immediate sense to me: </w:t>
      </w:r>
      <w:r w:rsidRPr="00156822">
        <w:rPr>
          <w:rFonts w:ascii="Times New Roman" w:eastAsia="Times New Roman" w:hAnsi="Times New Roman" w:cs="Times New Roman"/>
          <w:i/>
          <w:iCs/>
        </w:rPr>
        <w:t>job qualities</w:t>
      </w:r>
      <w:r w:rsidRPr="00156822">
        <w:rPr>
          <w:rFonts w:ascii="Times New Roman" w:eastAsia="Times New Roman" w:hAnsi="Times New Roman" w:cs="Times New Roman"/>
        </w:rPr>
        <w:t xml:space="preserve"> and </w:t>
      </w:r>
      <w:r w:rsidRPr="00156822">
        <w:rPr>
          <w:rFonts w:ascii="Times New Roman" w:eastAsia="Times New Roman" w:hAnsi="Times New Roman" w:cs="Times New Roman"/>
          <w:i/>
          <w:iCs/>
        </w:rPr>
        <w:t>feelings about the job</w:t>
      </w:r>
      <w:r w:rsidRPr="00156822">
        <w:rPr>
          <w:rFonts w:ascii="Times New Roman" w:eastAsia="Times New Roman" w:hAnsi="Times New Roman" w:cs="Times New Roman"/>
        </w:rPr>
        <w:t xml:space="preserve">. The last two themes in my list, addressing how some workers got their job and the role that the job plays in their overall employment, appeared less frequently than the first two sets of themes, and were thus placed lower down the list. But I also wasn’t yet sure how to organize these last two in relation to the other theme categories, so they remained individual topical themes for now. </w:t>
      </w:r>
    </w:p>
    <w:p w14:paraId="32EFFAA5"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lastRenderedPageBreak/>
        <w:t xml:space="preserve">This basic interpretive framework applied to the student data on seasonal workers allows us to consider each group of themes as its own thematic category, and to further organize these categories in a way that makes clearer conceptual sense and helps us to understand this specific context of work. Looking at the </w:t>
      </w:r>
      <w:r w:rsidRPr="00156822">
        <w:rPr>
          <w:rFonts w:ascii="Times New Roman" w:eastAsia="Times New Roman" w:hAnsi="Times New Roman" w:cs="Times New Roman"/>
          <w:i/>
          <w:iCs/>
        </w:rPr>
        <w:t>job qualities</w:t>
      </w:r>
      <w:r w:rsidRPr="00156822">
        <w:rPr>
          <w:rFonts w:ascii="Times New Roman" w:eastAsia="Times New Roman" w:hAnsi="Times New Roman" w:cs="Times New Roman"/>
        </w:rPr>
        <w:t xml:space="preserve"> themes, I noticed that 2 out of 3 themes center around the intense demands of this type of work, so I renamed (below) this category “</w:t>
      </w:r>
      <w:r w:rsidRPr="00156822">
        <w:rPr>
          <w:rFonts w:ascii="Times New Roman" w:eastAsia="Times New Roman" w:hAnsi="Times New Roman" w:cs="Times New Roman"/>
          <w:b/>
        </w:rPr>
        <w:t>demanding work</w:t>
      </w:r>
      <w:r w:rsidRPr="00156822">
        <w:rPr>
          <w:rFonts w:ascii="Times New Roman" w:eastAsia="Times New Roman" w:hAnsi="Times New Roman" w:cs="Times New Roman"/>
        </w:rPr>
        <w:t>.” The short-term aspect of this type of seasonal employment doesn’t seem to fit as well in this newly named category, which required me to re-read the data, write notes, and revise my framework. Looking at the second set of themes lead me to rename this category, “</w:t>
      </w:r>
      <w:r w:rsidRPr="00156822">
        <w:rPr>
          <w:rFonts w:ascii="Times New Roman" w:eastAsia="Times New Roman" w:hAnsi="Times New Roman" w:cs="Times New Roman"/>
          <w:b/>
          <w:bCs/>
        </w:rPr>
        <w:t>job satisfaction</w:t>
      </w:r>
      <w:r w:rsidRPr="00156822">
        <w:rPr>
          <w:rFonts w:ascii="Times New Roman" w:eastAsia="Times New Roman" w:hAnsi="Times New Roman" w:cs="Times New Roman"/>
        </w:rPr>
        <w:t>.” Remember that I wasn’t sure how to arrange the last two themes in the list, so I labeled them as individual and separate themes: “</w:t>
      </w:r>
      <w:r w:rsidRPr="00156822">
        <w:rPr>
          <w:rFonts w:ascii="Times New Roman" w:eastAsia="Times New Roman" w:hAnsi="Times New Roman" w:cs="Times New Roman"/>
          <w:b/>
          <w:bCs/>
        </w:rPr>
        <w:t>networking”</w:t>
      </w:r>
      <w:r w:rsidRPr="00156822">
        <w:rPr>
          <w:rFonts w:ascii="Times New Roman" w:eastAsia="Times New Roman" w:hAnsi="Times New Roman" w:cs="Times New Roman"/>
        </w:rPr>
        <w:t xml:space="preserve"> and “</w:t>
      </w:r>
      <w:r w:rsidRPr="00156822">
        <w:rPr>
          <w:rFonts w:ascii="Times New Roman" w:eastAsia="Times New Roman" w:hAnsi="Times New Roman" w:cs="Times New Roman"/>
          <w:b/>
          <w:bCs/>
        </w:rPr>
        <w:t>side job</w:t>
      </w:r>
      <w:r w:rsidRPr="00156822">
        <w:rPr>
          <w:rFonts w:ascii="Times New Roman" w:eastAsia="Times New Roman" w:hAnsi="Times New Roman" w:cs="Times New Roman"/>
        </w:rPr>
        <w:t xml:space="preserve">.” However, after reevaluation, the </w:t>
      </w:r>
      <w:r w:rsidRPr="00156822">
        <w:rPr>
          <w:rFonts w:ascii="Times New Roman" w:eastAsia="Times New Roman" w:hAnsi="Times New Roman" w:cs="Times New Roman"/>
          <w:i/>
          <w:iCs/>
        </w:rPr>
        <w:t>short-term/temporary</w:t>
      </w:r>
      <w:r w:rsidRPr="00156822">
        <w:rPr>
          <w:rFonts w:ascii="Times New Roman" w:eastAsia="Times New Roman" w:hAnsi="Times New Roman" w:cs="Times New Roman"/>
        </w:rPr>
        <w:t xml:space="preserve"> theme that I first put under “demanding work,” seems to fit better in the “</w:t>
      </w:r>
      <w:r w:rsidRPr="00156822">
        <w:rPr>
          <w:rFonts w:ascii="Times New Roman" w:eastAsia="Times New Roman" w:hAnsi="Times New Roman" w:cs="Times New Roman"/>
          <w:i/>
          <w:iCs/>
        </w:rPr>
        <w:t>side job”</w:t>
      </w:r>
      <w:r w:rsidRPr="00156822">
        <w:rPr>
          <w:rFonts w:ascii="Times New Roman" w:eastAsia="Times New Roman" w:hAnsi="Times New Roman" w:cs="Times New Roman"/>
        </w:rPr>
        <w:t xml:space="preserve"> category, given that it also references a secondary and contingent aspect of this type of employment.  </w:t>
      </w:r>
    </w:p>
    <w:p w14:paraId="3B6F54EC" w14:textId="77777777" w:rsidR="00D91945" w:rsidRPr="00156822" w:rsidRDefault="00D91945" w:rsidP="00156822">
      <w:pPr>
        <w:rPr>
          <w:rFonts w:ascii="Times New Roman" w:eastAsia="Times New Roman" w:hAnsi="Times New Roman" w:cs="Times New Roman"/>
        </w:rPr>
      </w:pPr>
      <w:r w:rsidRPr="00156822">
        <w:rPr>
          <w:rFonts w:ascii="Times New Roman" w:eastAsia="Times New Roman" w:hAnsi="Times New Roman" w:cs="Times New Roman"/>
          <w:b/>
        </w:rPr>
        <w:t>DEMANDING WORK:</w:t>
      </w:r>
    </w:p>
    <w:p w14:paraId="3919B86D"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Seasonal workers</w:t>
      </w:r>
      <w:r w:rsidRPr="00156822">
        <w:rPr>
          <w:rFonts w:ascii="Times New Roman" w:eastAsia="Times New Roman" w:hAnsi="Times New Roman" w:cs="Times New Roman"/>
        </w:rPr>
        <w:t>: work long hours</w:t>
      </w:r>
    </w:p>
    <w:p w14:paraId="2AC50D82"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 xml:space="preserve">Seasonal work </w:t>
      </w:r>
      <w:proofErr w:type="gramStart"/>
      <w:r w:rsidRPr="00156822">
        <w:rPr>
          <w:rFonts w:ascii="Times New Roman" w:eastAsia="Times New Roman" w:hAnsi="Times New Roman" w:cs="Times New Roman"/>
          <w:i/>
          <w:iCs/>
        </w:rPr>
        <w:t>is:</w:t>
      </w:r>
      <w:proofErr w:type="gramEnd"/>
      <w:r w:rsidRPr="00156822">
        <w:rPr>
          <w:rFonts w:ascii="Times New Roman" w:eastAsia="Times New Roman" w:hAnsi="Times New Roman" w:cs="Times New Roman"/>
        </w:rPr>
        <w:t xml:space="preserve"> fast paced &amp; high volume</w:t>
      </w:r>
    </w:p>
    <w:p w14:paraId="64A3FAE2" w14:textId="77777777" w:rsidR="00D91945" w:rsidRPr="00156822" w:rsidRDefault="00D91945" w:rsidP="00156822">
      <w:pPr>
        <w:rPr>
          <w:rFonts w:ascii="Times New Roman" w:eastAsia="Times New Roman" w:hAnsi="Times New Roman" w:cs="Times New Roman"/>
          <w:b/>
          <w:bCs/>
        </w:rPr>
      </w:pPr>
    </w:p>
    <w:p w14:paraId="01DC94F6" w14:textId="77777777" w:rsidR="00D91945" w:rsidRPr="00156822" w:rsidRDefault="00D91945" w:rsidP="00156822">
      <w:pPr>
        <w:rPr>
          <w:rFonts w:ascii="Times New Roman" w:eastAsia="Times New Roman" w:hAnsi="Times New Roman" w:cs="Times New Roman"/>
        </w:rPr>
      </w:pPr>
      <w:r w:rsidRPr="00156822">
        <w:rPr>
          <w:rFonts w:ascii="Times New Roman" w:eastAsia="Times New Roman" w:hAnsi="Times New Roman" w:cs="Times New Roman"/>
          <w:b/>
          <w:bCs/>
        </w:rPr>
        <w:t>JOB SATISFACTION:</w:t>
      </w:r>
    </w:p>
    <w:p w14:paraId="064B4137"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Seasonal workers:</w:t>
      </w:r>
      <w:r w:rsidRPr="00156822">
        <w:rPr>
          <w:rFonts w:ascii="Times New Roman" w:eastAsia="Times New Roman" w:hAnsi="Times New Roman" w:cs="Times New Roman"/>
        </w:rPr>
        <w:t xml:space="preserve"> enjoy interacting with diverse &amp; international customers </w:t>
      </w:r>
    </w:p>
    <w:p w14:paraId="10119608"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Seasonal workers:</w:t>
      </w:r>
      <w:r w:rsidRPr="00156822">
        <w:rPr>
          <w:rFonts w:ascii="Times New Roman" w:eastAsia="Times New Roman" w:hAnsi="Times New Roman" w:cs="Times New Roman"/>
        </w:rPr>
        <w:t xml:space="preserve"> enjoy the bustling park environment</w:t>
      </w:r>
    </w:p>
    <w:p w14:paraId="0DB55A1C"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 xml:space="preserve">Seasonal workers: </w:t>
      </w:r>
      <w:r w:rsidRPr="00156822">
        <w:rPr>
          <w:rFonts w:ascii="Times New Roman" w:eastAsia="Times New Roman" w:hAnsi="Times New Roman" w:cs="Times New Roman"/>
          <w:iCs/>
        </w:rPr>
        <w:t>e</w:t>
      </w:r>
      <w:r w:rsidRPr="00156822">
        <w:rPr>
          <w:rFonts w:ascii="Times New Roman" w:eastAsia="Times New Roman" w:hAnsi="Times New Roman" w:cs="Times New Roman"/>
        </w:rPr>
        <w:t>njoy their jobs and work</w:t>
      </w:r>
    </w:p>
    <w:p w14:paraId="014EAB05" w14:textId="77777777" w:rsidR="00D91945" w:rsidRPr="00156822" w:rsidRDefault="00D91945" w:rsidP="00156822">
      <w:pPr>
        <w:rPr>
          <w:rFonts w:ascii="Times New Roman" w:eastAsia="Times New Roman" w:hAnsi="Times New Roman" w:cs="Times New Roman"/>
          <w:b/>
          <w:bCs/>
        </w:rPr>
      </w:pPr>
    </w:p>
    <w:p w14:paraId="42039B8C" w14:textId="77777777" w:rsidR="00D91945" w:rsidRPr="00156822" w:rsidRDefault="00D91945" w:rsidP="00156822">
      <w:pPr>
        <w:rPr>
          <w:rFonts w:ascii="Times New Roman" w:eastAsia="Times New Roman" w:hAnsi="Times New Roman" w:cs="Times New Roman"/>
        </w:rPr>
      </w:pPr>
      <w:r w:rsidRPr="00156822">
        <w:rPr>
          <w:rFonts w:ascii="Times New Roman" w:eastAsia="Times New Roman" w:hAnsi="Times New Roman" w:cs="Times New Roman"/>
          <w:b/>
          <w:bCs/>
        </w:rPr>
        <w:t>SIDE JOB:</w:t>
      </w:r>
    </w:p>
    <w:p w14:paraId="1F7318F3"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 xml:space="preserve">Seasonal work is: </w:t>
      </w:r>
      <w:r w:rsidRPr="00156822">
        <w:rPr>
          <w:rFonts w:ascii="Times New Roman" w:eastAsia="Times New Roman" w:hAnsi="Times New Roman" w:cs="Times New Roman"/>
        </w:rPr>
        <w:t>Short-term/temporary</w:t>
      </w:r>
    </w:p>
    <w:p w14:paraId="1D90E9C3"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i/>
          <w:iCs/>
        </w:rPr>
        <w:t xml:space="preserve">Seasonal work </w:t>
      </w:r>
      <w:proofErr w:type="gramStart"/>
      <w:r w:rsidRPr="00156822">
        <w:rPr>
          <w:rFonts w:ascii="Times New Roman" w:eastAsia="Times New Roman" w:hAnsi="Times New Roman" w:cs="Times New Roman"/>
          <w:i/>
          <w:iCs/>
        </w:rPr>
        <w:t>is:</w:t>
      </w:r>
      <w:proofErr w:type="gramEnd"/>
      <w:r w:rsidRPr="00156822">
        <w:rPr>
          <w:rFonts w:ascii="Times New Roman" w:eastAsia="Times New Roman" w:hAnsi="Times New Roman" w:cs="Times New Roman"/>
        </w:rPr>
        <w:t xml:space="preserve"> not typically the main income source</w:t>
      </w:r>
    </w:p>
    <w:p w14:paraId="5B649C41" w14:textId="77777777" w:rsidR="00D91945" w:rsidRPr="00156822" w:rsidRDefault="00D91945" w:rsidP="00156822">
      <w:pPr>
        <w:rPr>
          <w:rFonts w:ascii="Times New Roman" w:eastAsia="Times New Roman" w:hAnsi="Times New Roman" w:cs="Times New Roman"/>
          <w:b/>
          <w:bCs/>
        </w:rPr>
      </w:pPr>
    </w:p>
    <w:p w14:paraId="3DCB4F37" w14:textId="77777777" w:rsidR="00D91945" w:rsidRPr="00156822" w:rsidRDefault="00D91945" w:rsidP="00156822">
      <w:pPr>
        <w:rPr>
          <w:rFonts w:ascii="Times New Roman" w:eastAsia="Times New Roman" w:hAnsi="Times New Roman" w:cs="Times New Roman"/>
        </w:rPr>
      </w:pPr>
      <w:r w:rsidRPr="00156822">
        <w:rPr>
          <w:rFonts w:ascii="Times New Roman" w:eastAsia="Times New Roman" w:hAnsi="Times New Roman" w:cs="Times New Roman"/>
          <w:b/>
          <w:bCs/>
        </w:rPr>
        <w:t>NETWORKING:</w:t>
      </w:r>
    </w:p>
    <w:p w14:paraId="3BAAD682" w14:textId="77777777" w:rsidR="00D91945" w:rsidRPr="00156822" w:rsidRDefault="00D91945" w:rsidP="00156822">
      <w:pPr>
        <w:pStyle w:val="ListParagraph"/>
        <w:rPr>
          <w:rFonts w:ascii="Times New Roman" w:eastAsia="Times New Roman" w:hAnsi="Times New Roman" w:cs="Times New Roman"/>
        </w:rPr>
      </w:pPr>
      <w:r w:rsidRPr="00156822">
        <w:rPr>
          <w:rFonts w:ascii="Times New Roman" w:eastAsia="Times New Roman" w:hAnsi="Times New Roman" w:cs="Times New Roman"/>
          <w:i/>
          <w:iCs/>
        </w:rPr>
        <w:t xml:space="preserve">Seasonal workers: </w:t>
      </w:r>
      <w:r w:rsidRPr="00156822">
        <w:rPr>
          <w:rFonts w:ascii="Times New Roman" w:eastAsia="Times New Roman" w:hAnsi="Times New Roman" w:cs="Times New Roman"/>
          <w:iCs/>
        </w:rPr>
        <w:t>some g</w:t>
      </w:r>
      <w:r w:rsidRPr="00156822">
        <w:rPr>
          <w:rFonts w:ascii="Times New Roman" w:eastAsia="Times New Roman" w:hAnsi="Times New Roman" w:cs="Times New Roman"/>
        </w:rPr>
        <w:t>ot the job through a personal contact</w:t>
      </w:r>
    </w:p>
    <w:p w14:paraId="23F417CA" w14:textId="77777777" w:rsidR="00D91945" w:rsidRPr="00156822" w:rsidRDefault="00D91945" w:rsidP="00156822">
      <w:pPr>
        <w:rPr>
          <w:rFonts w:ascii="Times New Roman" w:eastAsia="Times New Roman" w:hAnsi="Times New Roman" w:cs="Times New Roman"/>
        </w:rPr>
      </w:pPr>
    </w:p>
    <w:p w14:paraId="66415CB3" w14:textId="77777777" w:rsidR="00D91945" w:rsidRPr="00156822" w:rsidRDefault="00D91945" w:rsidP="00156822">
      <w:pPr>
        <w:ind w:firstLine="720"/>
        <w:rPr>
          <w:rFonts w:ascii="Times New Roman" w:hAnsi="Times New Roman" w:cs="Times New Roman"/>
        </w:rPr>
      </w:pPr>
      <w:r w:rsidRPr="00156822">
        <w:rPr>
          <w:rFonts w:ascii="Times New Roman" w:eastAsia="Times New Roman" w:hAnsi="Times New Roman" w:cs="Times New Roman"/>
        </w:rPr>
        <w:t xml:space="preserve">This revised version makes better conceptual sense and allows me see patterns in the data, and to ask questions about the relationship and interaction between these themes, and the degree to which they exist in tension or harmony. In the example above, there seems to be an apparent contradiction between the demands of the job (which are high) and job satisfaction (also high) that workers themselves did not attribute to high (or low) wages. </w:t>
      </w:r>
      <w:r w:rsidRPr="00156822">
        <w:rPr>
          <w:rFonts w:ascii="Times New Roman" w:hAnsi="Times New Roman" w:cs="Times New Roman"/>
        </w:rPr>
        <w:t xml:space="preserve">Such contradictions can flag important concepts and dynamics in action. </w:t>
      </w:r>
      <w:r w:rsidRPr="00156822">
        <w:rPr>
          <w:rFonts w:ascii="Times New Roman" w:eastAsia="Times New Roman" w:hAnsi="Times New Roman" w:cs="Times New Roman"/>
        </w:rPr>
        <w:t>In other words, why might workers enjoy a job they that they also describe as demanding? Encountering such c</w:t>
      </w:r>
      <w:r w:rsidRPr="00156822">
        <w:rPr>
          <w:rFonts w:ascii="Times New Roman" w:hAnsi="Times New Roman" w:cs="Times New Roman"/>
        </w:rPr>
        <w:t xml:space="preserve">ontradictions within your data offers an interesting analytical opportunity (Murchison, 2010, p. 181), as they require an explanation, thus advancing your analysis to the interpretation level (Madden, 2017, p. 151). </w:t>
      </w:r>
    </w:p>
    <w:p w14:paraId="748E2155"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Considering the other key themes specifically in relationship to one another (</w:t>
      </w:r>
      <w:proofErr w:type="spellStart"/>
      <w:r w:rsidRPr="00156822">
        <w:rPr>
          <w:rFonts w:ascii="Times New Roman" w:eastAsia="Times New Roman" w:hAnsi="Times New Roman" w:cs="Times New Roman"/>
        </w:rPr>
        <w:t>Saldaña</w:t>
      </w:r>
      <w:proofErr w:type="spellEnd"/>
      <w:r w:rsidRPr="00156822">
        <w:rPr>
          <w:rFonts w:ascii="Times New Roman" w:eastAsia="Times New Roman" w:hAnsi="Times New Roman" w:cs="Times New Roman"/>
        </w:rPr>
        <w:t xml:space="preserve">, 2011, p. 92) can help explain this contradiction. Perhaps the fact that this job is short term and a source of extra income (the side job theme) mitigates the demanding aspects of the work because workers understand that the work has a finite and foreseeable end. Another explanation may be the fact that many workers reported landing their job through personal connections, putting the demanding nature of the job in the context of existing relationships that workers likely hope to maintain. Thinking – and writing -- about these patterns and relationships also allows me to make some assertions explaining this sociocultural experience. </w:t>
      </w:r>
    </w:p>
    <w:p w14:paraId="0BA19FB6" w14:textId="77777777" w:rsidR="00D91945" w:rsidRPr="00156822" w:rsidRDefault="00D91945" w:rsidP="00156822">
      <w:pPr>
        <w:pStyle w:val="Heading2"/>
        <w:spacing w:before="0"/>
        <w:rPr>
          <w:rFonts w:ascii="Times New Roman" w:eastAsia="Times New Roman" w:hAnsi="Times New Roman" w:cs="Times New Roman"/>
        </w:rPr>
      </w:pPr>
      <w:r w:rsidRPr="00156822">
        <w:rPr>
          <w:rFonts w:ascii="Times New Roman" w:eastAsia="Times New Roman" w:hAnsi="Times New Roman" w:cs="Times New Roman"/>
        </w:rPr>
        <w:lastRenderedPageBreak/>
        <w:t xml:space="preserve">Additional ways to identify themes: </w:t>
      </w:r>
    </w:p>
    <w:p w14:paraId="5278B6E6"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 xml:space="preserve">It’s also important to consider aspects that are absent or not present in your data. While studying what’s not there may seem counter-intuitive, considering this aspect can lead to some important insights. For example, if you were researching the experiences of new and first-time parents, and you never heard any talk about the difficulties adjusting to the new demands, but witnessed what looked like challenging experiences – this may lead you to ask questions about why people haven’t discussed such expected experiences. Or consider the experience of working in a fast paced and high-pressure occupational field, such as the seasonal holiday market, while none of your participants specifically mentioned stress management, might lead you to questions about why such expected issues haven’t surfaced. </w:t>
      </w:r>
    </w:p>
    <w:p w14:paraId="7C0D6EB7"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 xml:space="preserve">Another way that a theme can be identified lies not in how often it comes up in the data, but instead stands out because something you observed people say or do seems to hold </w:t>
      </w:r>
      <w:proofErr w:type="gramStart"/>
      <w:r w:rsidRPr="00156822">
        <w:rPr>
          <w:rFonts w:ascii="Times New Roman" w:eastAsia="Times New Roman" w:hAnsi="Times New Roman" w:cs="Times New Roman"/>
        </w:rPr>
        <w:t>particular meaning</w:t>
      </w:r>
      <w:proofErr w:type="gramEnd"/>
      <w:r w:rsidRPr="00156822">
        <w:rPr>
          <w:rFonts w:ascii="Times New Roman" w:eastAsia="Times New Roman" w:hAnsi="Times New Roman" w:cs="Times New Roman"/>
        </w:rPr>
        <w:t xml:space="preserve"> for the people you are studying. This may include a critical incident, a vivid case, or a strong emotional response observed. </w:t>
      </w:r>
    </w:p>
    <w:p w14:paraId="2A5D6887" w14:textId="77777777" w:rsidR="00D91945" w:rsidRPr="00156822" w:rsidRDefault="00D91945" w:rsidP="00156822">
      <w:pPr>
        <w:ind w:firstLine="720"/>
        <w:rPr>
          <w:rFonts w:ascii="Times New Roman" w:eastAsia="Times New Roman" w:hAnsi="Times New Roman" w:cs="Times New Roman"/>
        </w:rPr>
      </w:pPr>
      <w:bookmarkStart w:id="15" w:name="_Hlk31467757"/>
      <w:r w:rsidRPr="00156822">
        <w:rPr>
          <w:rFonts w:ascii="Times New Roman" w:eastAsia="Times New Roman" w:hAnsi="Times New Roman" w:cs="Times New Roman"/>
        </w:rPr>
        <w:t xml:space="preserve">Let’s not forget the importance of your research question, which acts as a north star for researchers, guiding your coding and analysis, and centering the final written product. It may be that the question you are interested in answering doesn’t frequently emerge in your data, so it is important that you intentionally evaluate your data for themes related to your research question. Your research question is a guide but a flexible one, one that you should be open to revising and refining to reflect the insights you are gaining from the analytic process. </w:t>
      </w:r>
      <w:bookmarkEnd w:id="15"/>
      <w:r w:rsidRPr="00156822">
        <w:rPr>
          <w:rFonts w:ascii="Times New Roman" w:eastAsia="Times New Roman" w:hAnsi="Times New Roman" w:cs="Times New Roman"/>
        </w:rPr>
        <w:t>Your data and analysis may suggest that you haven’t got the right question and you may choose to revise the research question that you started out with (Murchison, 2010, p. 120). Your final ethnographic paper should center around addressing your revised research question.</w:t>
      </w:r>
    </w:p>
    <w:p w14:paraId="5C7FDB3B" w14:textId="77777777" w:rsidR="00D91945" w:rsidRPr="00156822" w:rsidRDefault="00D91945" w:rsidP="00156822">
      <w:pPr>
        <w:rPr>
          <w:rFonts w:ascii="Times New Roman" w:eastAsia="Times New Roman" w:hAnsi="Times New Roman" w:cs="Times New Roman"/>
        </w:rPr>
      </w:pPr>
      <w:r w:rsidRPr="00156822">
        <w:rPr>
          <w:rStyle w:val="Heading2Char"/>
          <w:rFonts w:ascii="Times New Roman" w:hAnsi="Times New Roman" w:cs="Times New Roman"/>
        </w:rPr>
        <w:t>Analytic Memos:</w:t>
      </w:r>
      <w:r w:rsidRPr="00156822">
        <w:rPr>
          <w:rFonts w:ascii="Times New Roman" w:eastAsia="Times New Roman" w:hAnsi="Times New Roman" w:cs="Times New Roman"/>
          <w:b/>
        </w:rPr>
        <w:t xml:space="preserve"> </w:t>
      </w:r>
      <w:r w:rsidRPr="00156822">
        <w:rPr>
          <w:rFonts w:ascii="Times New Roman" w:eastAsia="Times New Roman" w:hAnsi="Times New Roman" w:cs="Times New Roman"/>
        </w:rPr>
        <w:t>“one of the most useful and powerful sense-making tools at hand”</w:t>
      </w:r>
      <w:r w:rsidRPr="00156822">
        <w:rPr>
          <w:rFonts w:ascii="Times New Roman" w:hAnsi="Times New Roman" w:cs="Times New Roman"/>
        </w:rPr>
        <w:t xml:space="preserve"> (Miles, et al, 2019, p. 89).</w:t>
      </w:r>
    </w:p>
    <w:p w14:paraId="300A5E9F"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A strong analysis depends on the quality and quantity of the data that you have collected, but it also depends on the level of effort you put into the analytic practice of coding and memo-</w:t>
      </w:r>
      <w:proofErr w:type="spellStart"/>
      <w:r w:rsidRPr="00156822">
        <w:rPr>
          <w:rFonts w:ascii="Times New Roman" w:eastAsia="Times New Roman" w:hAnsi="Times New Roman" w:cs="Times New Roman"/>
        </w:rPr>
        <w:t>ing</w:t>
      </w:r>
      <w:proofErr w:type="spellEnd"/>
      <w:r w:rsidRPr="00156822">
        <w:rPr>
          <w:rFonts w:ascii="Times New Roman" w:eastAsia="Times New Roman" w:hAnsi="Times New Roman" w:cs="Times New Roman"/>
        </w:rPr>
        <w:t xml:space="preserve">. </w:t>
      </w:r>
      <w:r w:rsidRPr="00156822">
        <w:rPr>
          <w:rFonts w:ascii="Times New Roman" w:eastAsia="Times New Roman" w:hAnsi="Times New Roman" w:cs="Times New Roman"/>
          <w:b/>
          <w:bCs/>
        </w:rPr>
        <w:t>Analytic memos</w:t>
      </w:r>
      <w:r w:rsidRPr="00156822">
        <w:rPr>
          <w:rFonts w:ascii="Times New Roman" w:eastAsia="Times New Roman" w:hAnsi="Times New Roman" w:cs="Times New Roman"/>
        </w:rPr>
        <w:t xml:space="preserve">, described as a, “brief or extended narrative that documents the researcher’s reflections and thinking processes about the data” (Miles, et al, 2019, p. 88), </w:t>
      </w:r>
      <w:r w:rsidRPr="00156822">
        <w:rPr>
          <w:rFonts w:ascii="Times New Roman" w:hAnsi="Times New Roman" w:cs="Times New Roman"/>
        </w:rPr>
        <w:t xml:space="preserve">is an </w:t>
      </w:r>
      <w:r w:rsidRPr="00156822">
        <w:rPr>
          <w:rFonts w:ascii="Times New Roman" w:eastAsia="Times New Roman" w:hAnsi="Times New Roman" w:cs="Times New Roman"/>
        </w:rPr>
        <w:t>integral aspect of data analysis</w:t>
      </w:r>
      <w:r w:rsidRPr="00156822">
        <w:rPr>
          <w:rFonts w:ascii="Times New Roman" w:hAnsi="Times New Roman" w:cs="Times New Roman"/>
        </w:rPr>
        <w:t xml:space="preserve">. </w:t>
      </w:r>
      <w:r w:rsidRPr="00156822">
        <w:rPr>
          <w:rFonts w:ascii="Times New Roman" w:eastAsia="Times New Roman" w:hAnsi="Times New Roman" w:cs="Times New Roman"/>
        </w:rPr>
        <w:t xml:space="preserve">Writing isn’t just for the final presentation of your </w:t>
      </w:r>
      <w:proofErr w:type="gramStart"/>
      <w:r w:rsidRPr="00156822">
        <w:rPr>
          <w:rFonts w:ascii="Times New Roman" w:eastAsia="Times New Roman" w:hAnsi="Times New Roman" w:cs="Times New Roman"/>
        </w:rPr>
        <w:t>work,</w:t>
      </w:r>
      <w:proofErr w:type="gramEnd"/>
      <w:r w:rsidRPr="00156822">
        <w:rPr>
          <w:rFonts w:ascii="Times New Roman" w:eastAsia="Times New Roman" w:hAnsi="Times New Roman" w:cs="Times New Roman"/>
        </w:rPr>
        <w:t xml:space="preserve"> it is also a means of developing your work. Writing is thinking, and as a “sense-making tool,” memo writing encourages “little conceptual epiphanies” (Miles et al, 2019, p. 89). </w:t>
      </w:r>
    </w:p>
    <w:p w14:paraId="18DCBABA"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 xml:space="preserve">Analytic memos are informal and open-ended written explorations of what you are learning from your data and what you still need to learn </w:t>
      </w:r>
      <w:r w:rsidRPr="00156822">
        <w:rPr>
          <w:rFonts w:ascii="Times New Roman" w:hAnsi="Times New Roman" w:cs="Times New Roman"/>
        </w:rPr>
        <w:t>(Saldana, 2011, p. 98)</w:t>
      </w:r>
      <w:r w:rsidRPr="00156822">
        <w:rPr>
          <w:rFonts w:ascii="Times New Roman" w:eastAsia="Times New Roman" w:hAnsi="Times New Roman" w:cs="Times New Roman"/>
        </w:rPr>
        <w:t xml:space="preserve">. Consequently, there is no need to worry about grammar, spelling or even full sentences at first as </w:t>
      </w:r>
      <w:r w:rsidRPr="00156822">
        <w:rPr>
          <w:rFonts w:ascii="Times New Roman" w:eastAsia="Times New Roman" w:hAnsi="Times New Roman" w:cs="Times New Roman"/>
          <w:i/>
          <w:iCs/>
        </w:rPr>
        <w:t>you</w:t>
      </w:r>
      <w:r w:rsidRPr="00156822">
        <w:rPr>
          <w:rFonts w:ascii="Times New Roman" w:eastAsia="Times New Roman" w:hAnsi="Times New Roman" w:cs="Times New Roman"/>
        </w:rPr>
        <w:t xml:space="preserve"> are the primary audience for these memos. The priority is to document and process the insights that you are gaining. Memos can and should later be revised, extended, combined and edited as they may ultimately make their way into your final public writing.   </w:t>
      </w:r>
    </w:p>
    <w:p w14:paraId="66F4378D" w14:textId="77777777" w:rsidR="00D91945" w:rsidRPr="00156822" w:rsidRDefault="00D91945" w:rsidP="00156822">
      <w:pPr>
        <w:rPr>
          <w:rFonts w:ascii="Times New Roman" w:eastAsia="Times New Roman" w:hAnsi="Times New Roman" w:cs="Times New Roman"/>
        </w:rPr>
      </w:pPr>
      <w:r w:rsidRPr="00156822">
        <w:rPr>
          <w:rStyle w:val="Heading3Char"/>
          <w:rFonts w:ascii="Times New Roman" w:hAnsi="Times New Roman" w:cs="Times New Roman"/>
        </w:rPr>
        <w:t>Memo early and often.</w:t>
      </w:r>
      <w:r w:rsidRPr="00156822">
        <w:rPr>
          <w:rFonts w:ascii="Times New Roman" w:eastAsia="Times New Roman" w:hAnsi="Times New Roman" w:cs="Times New Roman"/>
        </w:rPr>
        <w:t xml:space="preserve">  </w:t>
      </w:r>
    </w:p>
    <w:p w14:paraId="42040F17" w14:textId="77777777" w:rsidR="00D91945" w:rsidRPr="00156822" w:rsidRDefault="00D91945" w:rsidP="00156822">
      <w:pPr>
        <w:ind w:firstLine="720"/>
        <w:rPr>
          <w:rFonts w:ascii="Times New Roman" w:hAnsi="Times New Roman" w:cs="Times New Roman"/>
        </w:rPr>
      </w:pPr>
      <w:r w:rsidRPr="00156822">
        <w:rPr>
          <w:rFonts w:ascii="Times New Roman" w:eastAsia="Times New Roman" w:hAnsi="Times New Roman" w:cs="Times New Roman"/>
        </w:rPr>
        <w:t xml:space="preserve">As soon as you begin going into the field and collecting data, you should also begin writing analytic memos (Murchison, 2010). </w:t>
      </w:r>
      <w:r w:rsidRPr="00156822">
        <w:rPr>
          <w:rFonts w:ascii="Times New Roman" w:hAnsi="Times New Roman" w:cs="Times New Roman"/>
        </w:rPr>
        <w:t>In your ongoing memo writing, it is recommended that you keep a running list of the all the things you have learned about your research setting and question, the things you still want to learn (i.e., emerging questions) and the things that you still need to do (Murchison, 2010). Any of these lists can productively be organized into a hierarchy of significance, from most to least important, leading to increasingly deeper levels of analysis, a more focused research question, and ultimately to a refined understanding of an area of inquiry.</w:t>
      </w:r>
    </w:p>
    <w:p w14:paraId="30C3AA4A"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lastRenderedPageBreak/>
        <w:t xml:space="preserve">Your early analytic memos will likely be descriptive in nature, which is a fine place to begin your analysis. According to O’Reilly (2012), describing your ethnographic findings “is a crucial phase of the analysis of your data, that often does not reveal itself to you until you start to write things up” (p. 193-194). Writing detailed descriptions of key settings, events, people, and/or exemplary cases are useful and easy entry points into your analysis (Brewer, 2000, p. 111-114; O’Reilly, 2012, p. 193). Jamie Woodcock’s (2017) research in an urban call center in the UK is a good example of the way many ethnographers use detailed descriptions to invite readers into their analysis. </w:t>
      </w:r>
    </w:p>
    <w:p w14:paraId="5D68B6EB" w14:textId="77777777" w:rsidR="00D91945" w:rsidRPr="00156822" w:rsidRDefault="00D91945" w:rsidP="00156822">
      <w:pPr>
        <w:ind w:firstLine="720"/>
        <w:rPr>
          <w:rFonts w:ascii="Times New Roman" w:hAnsi="Times New Roman" w:cs="Times New Roman"/>
        </w:rPr>
      </w:pPr>
      <w:r w:rsidRPr="00156822">
        <w:rPr>
          <w:rFonts w:ascii="Times New Roman" w:eastAsia="Times New Roman" w:hAnsi="Times New Roman" w:cs="Times New Roman"/>
        </w:rPr>
        <w:t>In a chronological narrative, Woodcock (2017) tells the story of his entry into the world of telemarketing, describing his process of getting work at a British call center and detailing what his training was like. He presents three especially difficult customer calls to illustrate the emotionally challenging nature of the call center work. His ‘thick description’ lays the conceptual groundwork for the rest of his ethnography, including his theoretical framing, which includes a discussion of Taylorism/scientific management and emotional labor demands.</w:t>
      </w:r>
    </w:p>
    <w:p w14:paraId="153E2DA4"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 xml:space="preserve">Memos should always be dated so you know where in your analytic process each memo is situated. Memos should also be titled and subtitled – this is important because titles (especially the main memo title) summarize the content and/or purpose of the memo, while a more descriptive subtitle narrows your focus to a small area of analysis. Dating and titling will also help you locate and organize your collection of analytic memos </w:t>
      </w:r>
      <w:proofErr w:type="gramStart"/>
      <w:r w:rsidRPr="00156822">
        <w:rPr>
          <w:rFonts w:ascii="Times New Roman" w:eastAsia="Times New Roman" w:hAnsi="Times New Roman" w:cs="Times New Roman"/>
        </w:rPr>
        <w:t>later on</w:t>
      </w:r>
      <w:proofErr w:type="gramEnd"/>
      <w:r w:rsidRPr="00156822">
        <w:rPr>
          <w:rFonts w:ascii="Times New Roman" w:eastAsia="Times New Roman" w:hAnsi="Times New Roman" w:cs="Times New Roman"/>
        </w:rPr>
        <w:t xml:space="preserve">. A rich collection of memos allows you to look for relationships and patterns across different types of data, such as field notes and interview transcripts as well as within a specific piece of data, such as a long interview or set of field notes. It is especially important to memo after each round of coding, as doing so is an essential part of the iterative coding/analysis process described earlier in the chapter, a process that is hindered if you don’t consistently put pen to paper (or fingers to keyboard) (Saldana, 2011, p. 102). Fully engaging this iterative process requires that you describe and reflect on what you are gleaning from the data and how such insights shape your coding, and in turn, document additional insights gained from your more complex coding. </w:t>
      </w:r>
    </w:p>
    <w:p w14:paraId="0D699F02" w14:textId="77777777" w:rsidR="00D91945" w:rsidRPr="00156822" w:rsidRDefault="00D91945" w:rsidP="00156822">
      <w:pPr>
        <w:rPr>
          <w:rFonts w:ascii="Times New Roman" w:eastAsia="Times New Roman" w:hAnsi="Times New Roman" w:cs="Times New Roman"/>
        </w:rPr>
      </w:pPr>
    </w:p>
    <w:p w14:paraId="2805CC92" w14:textId="77777777" w:rsidR="00D91945" w:rsidRPr="00156822" w:rsidRDefault="00D91945" w:rsidP="00156822">
      <w:pPr>
        <w:pStyle w:val="Heading2"/>
        <w:spacing w:before="0"/>
        <w:rPr>
          <w:rFonts w:ascii="Times New Roman" w:eastAsia="Times New Roman" w:hAnsi="Times New Roman" w:cs="Times New Roman"/>
        </w:rPr>
      </w:pPr>
      <w:r w:rsidRPr="00156822">
        <w:rPr>
          <w:rFonts w:ascii="Times New Roman" w:eastAsia="Times New Roman" w:hAnsi="Times New Roman" w:cs="Times New Roman"/>
        </w:rPr>
        <w:t xml:space="preserve">Interpretation </w:t>
      </w:r>
    </w:p>
    <w:p w14:paraId="0185C367"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 xml:space="preserve">While descriptive writing is a fine way to start a memo, it shouldn’t be the end point of your </w:t>
      </w:r>
      <w:proofErr w:type="spellStart"/>
      <w:r w:rsidRPr="00156822">
        <w:rPr>
          <w:rFonts w:ascii="Times New Roman" w:eastAsia="Times New Roman" w:hAnsi="Times New Roman" w:cs="Times New Roman"/>
        </w:rPr>
        <w:t>memoing</w:t>
      </w:r>
      <w:proofErr w:type="spellEnd"/>
      <w:r w:rsidRPr="00156822">
        <w:rPr>
          <w:rFonts w:ascii="Times New Roman" w:eastAsia="Times New Roman" w:hAnsi="Times New Roman" w:cs="Times New Roman"/>
        </w:rPr>
        <w:t xml:space="preserve"> practice. Instead, memos are a means of moving you toward the interpretation stage of the analytic process by (Bailey, 2018; Madden, 2017, p. 152). Researchers aim to use their acquired insider perspective, in interaction with their outsider status and information gathering efforts, to offer useful interpretations of the data they’ve collected and constructed. Madden (2017) describes interpretation as “moving from idea to explanation, from data to story, and in many cases from confusion to meaning” (p. 149). Bailey (2018, p. 200), referring to priorities set by Braun and Clark (2006), reminds us that interpretation requires ethnographers to go beyond description to explain the meaning of our identified themes, to point out the beliefs and assumptions that are embedded in identified themes and why it matters, and lastly, to suggest what conditions are associated with the emergence of this theme/concept. This is an opportunity for you to discuss the meaning(s) that you give to your research data, and to explain why you think people behave and think in specific ways (Madden, 2017, p. 151). </w:t>
      </w:r>
    </w:p>
    <w:p w14:paraId="03A5E90A" w14:textId="77777777" w:rsidR="00D91945" w:rsidRPr="00156822" w:rsidRDefault="00D91945" w:rsidP="00156822">
      <w:pPr>
        <w:pStyle w:val="Heading2"/>
        <w:spacing w:before="0"/>
        <w:rPr>
          <w:rFonts w:ascii="Times New Roman" w:hAnsi="Times New Roman" w:cs="Times New Roman"/>
        </w:rPr>
      </w:pPr>
      <w:r w:rsidRPr="00156822">
        <w:rPr>
          <w:rFonts w:ascii="Times New Roman" w:hAnsi="Times New Roman" w:cs="Times New Roman"/>
        </w:rPr>
        <w:t>Assertion Development</w:t>
      </w:r>
    </w:p>
    <w:p w14:paraId="0EE9D4F7" w14:textId="77777777" w:rsidR="00D91945" w:rsidRPr="00156822" w:rsidRDefault="00D91945" w:rsidP="00156822">
      <w:pPr>
        <w:ind w:firstLine="720"/>
        <w:rPr>
          <w:rFonts w:ascii="Times New Roman" w:eastAsia="Times New Roman" w:hAnsi="Times New Roman" w:cs="Times New Roman"/>
        </w:rPr>
      </w:pPr>
      <w:r w:rsidRPr="00156822">
        <w:rPr>
          <w:rFonts w:ascii="Times New Roman" w:eastAsia="Times New Roman" w:hAnsi="Times New Roman" w:cs="Times New Roman"/>
        </w:rPr>
        <w:t xml:space="preserve">Writing memos allow you to converse with your research literature, data, and the insights you documented and developed in earlier memos, and consequently well positions you to make some </w:t>
      </w:r>
      <w:r w:rsidRPr="00156822">
        <w:rPr>
          <w:rFonts w:ascii="Times New Roman" w:eastAsia="Times New Roman" w:hAnsi="Times New Roman" w:cs="Times New Roman"/>
          <w:b/>
          <w:bCs/>
        </w:rPr>
        <w:t>assertions</w:t>
      </w:r>
      <w:r w:rsidRPr="00156822">
        <w:rPr>
          <w:rFonts w:ascii="Times New Roman" w:eastAsia="Times New Roman" w:hAnsi="Times New Roman" w:cs="Times New Roman"/>
        </w:rPr>
        <w:t xml:space="preserve"> about the specific sociocultural setting that you are studying. Making an </w:t>
      </w:r>
      <w:r w:rsidRPr="00156822">
        <w:rPr>
          <w:rFonts w:ascii="Times New Roman" w:eastAsia="Times New Roman" w:hAnsi="Times New Roman" w:cs="Times New Roman"/>
        </w:rPr>
        <w:lastRenderedPageBreak/>
        <w:t>assertion means declaring or asserting something as truth. You are offering a plausible explanation of the cultural phenomena and/or group experience you have studied that defending this argument with evidence. It is important to acknowledge the many possible, and perhaps competing, perspectives that explain a situation (Brewer, 2000). But as Brewer (2000) points out “some things are less true than others” (p. 122), and some interpretations are more credible and convincing, and thus carry more weight. You’re aim is not to prove your point, but to show how your explanation makes good sense (</w:t>
      </w:r>
      <w:proofErr w:type="spellStart"/>
      <w:r w:rsidRPr="00156822">
        <w:rPr>
          <w:rFonts w:ascii="Times New Roman" w:eastAsia="Times New Roman" w:hAnsi="Times New Roman" w:cs="Times New Roman"/>
        </w:rPr>
        <w:t>Saldaña</w:t>
      </w:r>
      <w:proofErr w:type="spellEnd"/>
      <w:r w:rsidRPr="00156822">
        <w:rPr>
          <w:rFonts w:ascii="Times New Roman" w:eastAsia="Times New Roman" w:hAnsi="Times New Roman" w:cs="Times New Roman"/>
        </w:rPr>
        <w:t xml:space="preserve">, 2011, p. 125). </w:t>
      </w:r>
    </w:p>
    <w:p w14:paraId="3B9BCCC6" w14:textId="77777777" w:rsidR="00D91945" w:rsidRPr="00156822" w:rsidRDefault="00D91945" w:rsidP="00156822">
      <w:pPr>
        <w:pStyle w:val="Heading2"/>
        <w:spacing w:before="0"/>
        <w:rPr>
          <w:rFonts w:ascii="Times New Roman" w:hAnsi="Times New Roman" w:cs="Times New Roman"/>
        </w:rPr>
      </w:pPr>
      <w:r w:rsidRPr="00156822">
        <w:rPr>
          <w:rFonts w:ascii="Times New Roman" w:hAnsi="Times New Roman" w:cs="Times New Roman"/>
        </w:rPr>
        <w:t xml:space="preserve">Negative Cases/Outliers </w:t>
      </w:r>
    </w:p>
    <w:p w14:paraId="630B959C" w14:textId="77777777" w:rsidR="00D91945" w:rsidRPr="00156822" w:rsidRDefault="00D91945" w:rsidP="00156822">
      <w:pPr>
        <w:ind w:firstLine="720"/>
        <w:rPr>
          <w:rFonts w:ascii="Times New Roman" w:hAnsi="Times New Roman" w:cs="Times New Roman"/>
        </w:rPr>
      </w:pPr>
      <w:r w:rsidRPr="00156822">
        <w:rPr>
          <w:rFonts w:ascii="Times New Roman" w:hAnsi="Times New Roman" w:cs="Times New Roman"/>
        </w:rPr>
        <w:t xml:space="preserve">Data that are distinct from </w:t>
      </w:r>
      <w:proofErr w:type="gramStart"/>
      <w:r w:rsidRPr="00156822">
        <w:rPr>
          <w:rFonts w:ascii="Times New Roman" w:hAnsi="Times New Roman" w:cs="Times New Roman"/>
        </w:rPr>
        <w:t>the majority of</w:t>
      </w:r>
      <w:proofErr w:type="gramEnd"/>
      <w:r w:rsidRPr="00156822">
        <w:rPr>
          <w:rFonts w:ascii="Times New Roman" w:hAnsi="Times New Roman" w:cs="Times New Roman"/>
        </w:rPr>
        <w:t xml:space="preserve"> responses are called </w:t>
      </w:r>
      <w:r w:rsidRPr="00156822">
        <w:rPr>
          <w:rFonts w:ascii="Times New Roman" w:hAnsi="Times New Roman" w:cs="Times New Roman"/>
          <w:b/>
          <w:bCs/>
        </w:rPr>
        <w:t>outliers</w:t>
      </w:r>
      <w:r w:rsidRPr="00156822">
        <w:rPr>
          <w:rFonts w:ascii="Times New Roman" w:hAnsi="Times New Roman" w:cs="Times New Roman"/>
        </w:rPr>
        <w:t xml:space="preserve">, while data that doesn’t conform to the boundaries of your assertions are known as “negative cases.” These examples have interpretive value and should also be considered in your analysis. </w:t>
      </w:r>
      <w:r w:rsidRPr="00156822">
        <w:rPr>
          <w:rFonts w:ascii="Times New Roman" w:hAnsi="Times New Roman" w:cs="Times New Roman"/>
          <w:bCs/>
        </w:rPr>
        <w:t>Negative cases/outliers</w:t>
      </w:r>
      <w:r w:rsidRPr="00156822">
        <w:rPr>
          <w:rFonts w:ascii="Times New Roman" w:hAnsi="Times New Roman" w:cs="Times New Roman"/>
        </w:rPr>
        <w:t xml:space="preserve"> can show variation and diversity within a social cultural setting and keep us from essentializing the experience of one person or a group of persons (Brewer, 2000, p. 109; </w:t>
      </w:r>
      <w:proofErr w:type="spellStart"/>
      <w:r w:rsidRPr="00156822">
        <w:rPr>
          <w:rFonts w:ascii="Times New Roman" w:eastAsia="Times New Roman" w:hAnsi="Times New Roman" w:cs="Times New Roman"/>
        </w:rPr>
        <w:t>Saldaña</w:t>
      </w:r>
      <w:proofErr w:type="spellEnd"/>
      <w:r w:rsidRPr="00156822">
        <w:rPr>
          <w:rFonts w:ascii="Times New Roman" w:eastAsia="Times New Roman" w:hAnsi="Times New Roman" w:cs="Times New Roman"/>
        </w:rPr>
        <w:t>, 2001, p. 101)</w:t>
      </w:r>
      <w:r w:rsidRPr="00156822">
        <w:rPr>
          <w:rFonts w:ascii="Times New Roman" w:hAnsi="Times New Roman" w:cs="Times New Roman"/>
        </w:rPr>
        <w:t xml:space="preserve">. </w:t>
      </w:r>
    </w:p>
    <w:p w14:paraId="4E77713D" w14:textId="77777777" w:rsidR="00D91945" w:rsidRPr="00156822" w:rsidRDefault="00D91945" w:rsidP="00156822">
      <w:pPr>
        <w:pStyle w:val="Heading2"/>
        <w:spacing w:before="0"/>
        <w:rPr>
          <w:rFonts w:ascii="Times New Roman" w:hAnsi="Times New Roman" w:cs="Times New Roman"/>
        </w:rPr>
      </w:pPr>
      <w:r w:rsidRPr="00156822">
        <w:rPr>
          <w:rFonts w:ascii="Times New Roman" w:hAnsi="Times New Roman" w:cs="Times New Roman"/>
        </w:rPr>
        <w:t>When you feel stuck</w:t>
      </w:r>
    </w:p>
    <w:p w14:paraId="57401CC2" w14:textId="77777777" w:rsidR="00D91945" w:rsidRPr="00244296" w:rsidRDefault="00D91945" w:rsidP="00156822">
      <w:pPr>
        <w:ind w:firstLine="720"/>
        <w:rPr>
          <w:rFonts w:ascii="Times New Roman" w:hAnsi="Times New Roman" w:cs="Times New Roman"/>
        </w:rPr>
      </w:pPr>
      <w:bookmarkStart w:id="16" w:name="_Hlk29766444"/>
      <w:r w:rsidRPr="00156822">
        <w:rPr>
          <w:rFonts w:ascii="Times New Roman" w:hAnsi="Times New Roman" w:cs="Times New Roman"/>
        </w:rPr>
        <w:t>To be successful in almost any endeavor, you must be willing to be uncomfortable – and analyzing data is uncomfortable. Moving into t</w:t>
      </w:r>
      <w:r w:rsidRPr="00244296">
        <w:rPr>
          <w:rFonts w:ascii="Times New Roman" w:hAnsi="Times New Roman" w:cs="Times New Roman"/>
        </w:rPr>
        <w:t xml:space="preserve">he data analysis stage can be overwhelming, and you may feel like you don’t know where to start or stop. You may wonder whether you have crafted the most relevant or useful codes, worry that you aren’t addressing your research question, or even whether your research question is even any good. You may question your fieldwork and data collection practices (e.g., not enough data, too much data, the quality of the data). These self-questions, while uncomfortable, are </w:t>
      </w:r>
      <w:proofErr w:type="gramStart"/>
      <w:r w:rsidRPr="00244296">
        <w:rPr>
          <w:rFonts w:ascii="Times New Roman" w:hAnsi="Times New Roman" w:cs="Times New Roman"/>
        </w:rPr>
        <w:t>actually good</w:t>
      </w:r>
      <w:proofErr w:type="gramEnd"/>
      <w:r w:rsidRPr="00244296">
        <w:rPr>
          <w:rFonts w:ascii="Times New Roman" w:hAnsi="Times New Roman" w:cs="Times New Roman"/>
        </w:rPr>
        <w:t xml:space="preserve"> signs that you are in the middle of data analysis. The ethnographic researcher’s challenge is to not let such anxieties stop you from doing the analytic work required for a meaningful product. </w:t>
      </w:r>
      <w:proofErr w:type="gramStart"/>
      <w:r w:rsidRPr="00244296">
        <w:rPr>
          <w:rFonts w:ascii="Times New Roman" w:hAnsi="Times New Roman" w:cs="Times New Roman"/>
        </w:rPr>
        <w:t>So</w:t>
      </w:r>
      <w:proofErr w:type="gramEnd"/>
      <w:r w:rsidRPr="00244296">
        <w:rPr>
          <w:rFonts w:ascii="Times New Roman" w:hAnsi="Times New Roman" w:cs="Times New Roman"/>
        </w:rPr>
        <w:t xml:space="preserve"> accept the discomfort, know that it is temporary and is just part of the process that will move you to insights later. </w:t>
      </w:r>
    </w:p>
    <w:bookmarkEnd w:id="16"/>
    <w:p w14:paraId="6459ABC7" w14:textId="77777777" w:rsidR="00156822" w:rsidRDefault="00156822" w:rsidP="00D91945">
      <w:pPr>
        <w:pStyle w:val="Heading2"/>
        <w:spacing w:line="480" w:lineRule="auto"/>
      </w:pPr>
    </w:p>
    <w:p w14:paraId="519C1205" w14:textId="4006EA5C" w:rsidR="00D91945" w:rsidRPr="00244296" w:rsidRDefault="00D91945" w:rsidP="00156822">
      <w:pPr>
        <w:pStyle w:val="Heading2"/>
        <w:spacing w:before="0" w:line="480" w:lineRule="auto"/>
      </w:pPr>
      <w:r w:rsidRPr="00244296">
        <w:t>Chapter Summary:</w:t>
      </w:r>
    </w:p>
    <w:p w14:paraId="6B6C37F5" w14:textId="77777777" w:rsidR="00D91945" w:rsidRPr="00F42C3A" w:rsidRDefault="00D91945" w:rsidP="00156822">
      <w:pPr>
        <w:pStyle w:val="ListParagraph"/>
        <w:numPr>
          <w:ilvl w:val="0"/>
          <w:numId w:val="48"/>
        </w:numPr>
        <w:spacing w:line="480" w:lineRule="auto"/>
        <w:ind w:left="1080"/>
        <w:rPr>
          <w:rFonts w:ascii="Times New Roman" w:hAnsi="Times New Roman" w:cs="Times New Roman"/>
          <w:color w:val="000000"/>
        </w:rPr>
      </w:pPr>
      <w:r w:rsidRPr="00F42C3A">
        <w:rPr>
          <w:rFonts w:ascii="Times New Roman" w:hAnsi="Times New Roman" w:cs="Times New Roman"/>
        </w:rPr>
        <w:t>Data analysis is the process by which we make sense of all the data that we have collected over the course of a project</w:t>
      </w:r>
      <w:r>
        <w:rPr>
          <w:rFonts w:ascii="Times New Roman" w:hAnsi="Times New Roman" w:cs="Times New Roman"/>
        </w:rPr>
        <w:t>,</w:t>
      </w:r>
      <w:r w:rsidRPr="00F42C3A">
        <w:rPr>
          <w:rFonts w:ascii="Times New Roman" w:hAnsi="Times New Roman" w:cs="Times New Roman"/>
        </w:rPr>
        <w:t xml:space="preserve"> </w:t>
      </w:r>
      <w:r>
        <w:rPr>
          <w:rFonts w:ascii="Times New Roman" w:hAnsi="Times New Roman" w:cs="Times New Roman"/>
        </w:rPr>
        <w:t xml:space="preserve">allowing the researcher </w:t>
      </w:r>
      <w:r w:rsidRPr="00F42C3A">
        <w:rPr>
          <w:rFonts w:ascii="Times New Roman" w:hAnsi="Times New Roman" w:cs="Times New Roman"/>
        </w:rPr>
        <w:t xml:space="preserve">to make some </w:t>
      </w:r>
      <w:r w:rsidRPr="006F0797">
        <w:rPr>
          <w:rFonts w:ascii="Times New Roman" w:hAnsi="Times New Roman" w:cs="Times New Roman"/>
          <w:bCs/>
        </w:rPr>
        <w:t>assertions</w:t>
      </w:r>
      <w:r w:rsidRPr="00F42C3A">
        <w:rPr>
          <w:rFonts w:ascii="Times New Roman" w:hAnsi="Times New Roman" w:cs="Times New Roman"/>
        </w:rPr>
        <w:t xml:space="preserve"> about a particular social and cultural space.</w:t>
      </w:r>
    </w:p>
    <w:p w14:paraId="31ABB2A8" w14:textId="77777777" w:rsidR="00D91945" w:rsidRPr="00F42C3A" w:rsidRDefault="00D91945" w:rsidP="00156822">
      <w:pPr>
        <w:pStyle w:val="ListParagraph"/>
        <w:numPr>
          <w:ilvl w:val="0"/>
          <w:numId w:val="48"/>
        </w:numPr>
        <w:spacing w:line="480" w:lineRule="auto"/>
        <w:ind w:left="1080"/>
        <w:rPr>
          <w:rFonts w:ascii="Times New Roman" w:hAnsi="Times New Roman" w:cs="Times New Roman"/>
        </w:rPr>
      </w:pPr>
      <w:r w:rsidRPr="00F42C3A">
        <w:rPr>
          <w:rFonts w:ascii="Times New Roman" w:hAnsi="Times New Roman" w:cs="Times New Roman"/>
        </w:rPr>
        <w:t>Data analysis is an iterative-inductive process.</w:t>
      </w:r>
      <w:r w:rsidRPr="00F42C3A">
        <w:rPr>
          <w:rFonts w:ascii="Times New Roman" w:hAnsi="Times New Roman" w:cs="Times New Roman"/>
          <w:b/>
          <w:bCs/>
        </w:rPr>
        <w:t xml:space="preserve"> </w:t>
      </w:r>
      <w:r w:rsidRPr="00F42C3A">
        <w:rPr>
          <w:rFonts w:ascii="Times New Roman" w:hAnsi="Times New Roman" w:cs="Times New Roman"/>
        </w:rPr>
        <w:t>The ‘iterative’ aspect means that analysis is ongoing, while the ‘inductive’ aspect means that researchers work to make general assertions from the specifics of their data.</w:t>
      </w:r>
    </w:p>
    <w:p w14:paraId="22F1AC3A" w14:textId="77777777" w:rsidR="00D91945" w:rsidRPr="00F42C3A" w:rsidRDefault="00D91945" w:rsidP="00156822">
      <w:pPr>
        <w:pStyle w:val="ListParagraph"/>
        <w:numPr>
          <w:ilvl w:val="0"/>
          <w:numId w:val="48"/>
        </w:numPr>
        <w:spacing w:line="480" w:lineRule="auto"/>
        <w:ind w:left="1080"/>
        <w:rPr>
          <w:rFonts w:ascii="Times New Roman" w:hAnsi="Times New Roman" w:cs="Times New Roman"/>
        </w:rPr>
      </w:pPr>
      <w:r w:rsidRPr="00F42C3A">
        <w:rPr>
          <w:rFonts w:ascii="Times New Roman" w:hAnsi="Times New Roman" w:cs="Times New Roman"/>
        </w:rPr>
        <w:lastRenderedPageBreak/>
        <w:t>The analysis of data generally begins with the coding process and ends with interpretive assertions, and sometimes theory development, within ethnographic writing.</w:t>
      </w:r>
    </w:p>
    <w:p w14:paraId="2C68F4B4" w14:textId="77777777" w:rsidR="00D91945" w:rsidRPr="00F42C3A" w:rsidRDefault="00D91945" w:rsidP="00156822">
      <w:pPr>
        <w:pStyle w:val="ListParagraph"/>
        <w:numPr>
          <w:ilvl w:val="0"/>
          <w:numId w:val="48"/>
        </w:numPr>
        <w:spacing w:line="480" w:lineRule="auto"/>
        <w:ind w:left="1080"/>
        <w:rPr>
          <w:rFonts w:ascii="Times New Roman" w:hAnsi="Times New Roman" w:cs="Times New Roman"/>
        </w:rPr>
      </w:pPr>
      <w:r w:rsidRPr="00F42C3A">
        <w:rPr>
          <w:rFonts w:ascii="Times New Roman" w:hAnsi="Times New Roman" w:cs="Times New Roman"/>
        </w:rPr>
        <w:t xml:space="preserve">Thematic analysis is a common method of data analysis for ethnographers and other qualitative field researchers. </w:t>
      </w:r>
    </w:p>
    <w:p w14:paraId="518069BE" w14:textId="77777777" w:rsidR="00D91945" w:rsidRPr="00F42C3A" w:rsidRDefault="00D91945" w:rsidP="00156822">
      <w:pPr>
        <w:pStyle w:val="ListParagraph"/>
        <w:numPr>
          <w:ilvl w:val="0"/>
          <w:numId w:val="48"/>
        </w:numPr>
        <w:spacing w:line="480" w:lineRule="auto"/>
        <w:ind w:left="1080"/>
        <w:rPr>
          <w:rFonts w:ascii="Times New Roman" w:hAnsi="Times New Roman" w:cs="Times New Roman"/>
          <w:color w:val="000000"/>
        </w:rPr>
      </w:pPr>
      <w:r w:rsidRPr="00F42C3A">
        <w:rPr>
          <w:rFonts w:ascii="Times New Roman" w:hAnsi="Times New Roman" w:cs="Times New Roman"/>
        </w:rPr>
        <w:t xml:space="preserve">Themes can be separated into “topical” and “overarching” themes or organized into an outline format of superordinate and subordinate categories, or </w:t>
      </w:r>
      <w:r w:rsidRPr="006F0797">
        <w:rPr>
          <w:rFonts w:ascii="Times New Roman" w:hAnsi="Times New Roman" w:cs="Times New Roman"/>
        </w:rPr>
        <w:t>hierarchies of significance</w:t>
      </w:r>
      <w:r>
        <w:rPr>
          <w:rFonts w:ascii="Times New Roman" w:hAnsi="Times New Roman" w:cs="Times New Roman"/>
        </w:rPr>
        <w:t>,</w:t>
      </w:r>
      <w:r w:rsidRPr="00F42C3A">
        <w:rPr>
          <w:rFonts w:ascii="Times New Roman" w:hAnsi="Times New Roman" w:cs="Times New Roman"/>
        </w:rPr>
        <w:t xml:space="preserve"> based on the relative importance of the concept. </w:t>
      </w:r>
    </w:p>
    <w:p w14:paraId="46657B62" w14:textId="77777777" w:rsidR="00D91945" w:rsidRPr="00F42C3A" w:rsidRDefault="00D91945" w:rsidP="00156822">
      <w:pPr>
        <w:pStyle w:val="ListParagraph"/>
        <w:numPr>
          <w:ilvl w:val="0"/>
          <w:numId w:val="48"/>
        </w:numPr>
        <w:spacing w:line="480" w:lineRule="auto"/>
        <w:ind w:left="1080"/>
        <w:rPr>
          <w:rFonts w:ascii="Times New Roman" w:hAnsi="Times New Roman" w:cs="Times New Roman"/>
          <w:color w:val="000000"/>
        </w:rPr>
      </w:pPr>
      <w:r w:rsidRPr="00F42C3A">
        <w:rPr>
          <w:rFonts w:ascii="Times New Roman" w:hAnsi="Times New Roman" w:cs="Times New Roman"/>
        </w:rPr>
        <w:t>The practice of writing a</w:t>
      </w:r>
      <w:r w:rsidRPr="006F0797">
        <w:rPr>
          <w:rFonts w:ascii="Times New Roman" w:hAnsi="Times New Roman" w:cs="Times New Roman"/>
        </w:rPr>
        <w:t>nalytic memos</w:t>
      </w:r>
      <w:r w:rsidRPr="00F42C3A">
        <w:rPr>
          <w:rFonts w:ascii="Times New Roman" w:hAnsi="Times New Roman" w:cs="Times New Roman"/>
        </w:rPr>
        <w:t xml:space="preserve"> after each round of coding, documenting the researcher’s reflections and thinking processes about the data, is an essential part of the data analysis process. </w:t>
      </w:r>
    </w:p>
    <w:p w14:paraId="3E3B44E1" w14:textId="77777777" w:rsidR="00D91945" w:rsidRPr="00244296" w:rsidRDefault="00D91945" w:rsidP="00156822">
      <w:pPr>
        <w:pStyle w:val="Heading2"/>
        <w:spacing w:before="0" w:line="480" w:lineRule="auto"/>
      </w:pPr>
      <w:r w:rsidRPr="00244296">
        <w:t>Questions:</w:t>
      </w:r>
    </w:p>
    <w:p w14:paraId="02CE4342" w14:textId="77777777" w:rsidR="00D91945" w:rsidRPr="00D43ACD" w:rsidRDefault="00D91945" w:rsidP="00156822">
      <w:pPr>
        <w:pStyle w:val="ListParagraph"/>
        <w:numPr>
          <w:ilvl w:val="0"/>
          <w:numId w:val="49"/>
        </w:numPr>
        <w:spacing w:line="480" w:lineRule="auto"/>
        <w:rPr>
          <w:rFonts w:ascii="Times New Roman" w:eastAsia="Times New Roman" w:hAnsi="Times New Roman" w:cs="Times New Roman"/>
        </w:rPr>
      </w:pPr>
      <w:r w:rsidRPr="00D43ACD">
        <w:rPr>
          <w:rFonts w:ascii="Times New Roman" w:eastAsia="Times New Roman" w:hAnsi="Times New Roman" w:cs="Times New Roman"/>
        </w:rPr>
        <w:t>What are some ways to identify key themes in your ethnographic record?</w:t>
      </w:r>
    </w:p>
    <w:p w14:paraId="3DF6F472" w14:textId="77777777" w:rsidR="00D91945" w:rsidRPr="00D43ACD" w:rsidRDefault="00D91945" w:rsidP="00156822">
      <w:pPr>
        <w:pStyle w:val="ListParagraph"/>
        <w:numPr>
          <w:ilvl w:val="0"/>
          <w:numId w:val="49"/>
        </w:numPr>
        <w:spacing w:line="480" w:lineRule="auto"/>
        <w:rPr>
          <w:rFonts w:ascii="Times New Roman" w:eastAsia="Times New Roman" w:hAnsi="Times New Roman" w:cs="Times New Roman"/>
        </w:rPr>
      </w:pPr>
      <w:r w:rsidRPr="00D43ACD">
        <w:rPr>
          <w:rFonts w:ascii="Times New Roman" w:eastAsia="Times New Roman" w:hAnsi="Times New Roman" w:cs="Times New Roman"/>
        </w:rPr>
        <w:t>Explain the difference between a topical theme and an overarching theme?</w:t>
      </w:r>
    </w:p>
    <w:p w14:paraId="460C9F78" w14:textId="77777777" w:rsidR="00D91945" w:rsidRPr="00D43ACD" w:rsidRDefault="00D91945" w:rsidP="00156822">
      <w:pPr>
        <w:pStyle w:val="ListParagraph"/>
        <w:numPr>
          <w:ilvl w:val="0"/>
          <w:numId w:val="49"/>
        </w:numPr>
        <w:spacing w:line="480" w:lineRule="auto"/>
        <w:rPr>
          <w:rFonts w:ascii="Times New Roman" w:eastAsia="Times New Roman" w:hAnsi="Times New Roman" w:cs="Times New Roman"/>
        </w:rPr>
      </w:pPr>
      <w:r w:rsidRPr="00D43ACD">
        <w:rPr>
          <w:rFonts w:ascii="Times New Roman" w:eastAsia="Times New Roman" w:hAnsi="Times New Roman" w:cs="Times New Roman"/>
        </w:rPr>
        <w:t>What is the value of writing analytic memos in the data analysis process?</w:t>
      </w:r>
    </w:p>
    <w:p w14:paraId="6D4E9835" w14:textId="77777777" w:rsidR="00D91945" w:rsidRPr="00D43ACD" w:rsidRDefault="00D91945" w:rsidP="00156822">
      <w:pPr>
        <w:pStyle w:val="ListParagraph"/>
        <w:numPr>
          <w:ilvl w:val="0"/>
          <w:numId w:val="49"/>
        </w:numPr>
        <w:spacing w:line="480" w:lineRule="auto"/>
        <w:rPr>
          <w:rFonts w:ascii="Times New Roman" w:eastAsia="Times New Roman" w:hAnsi="Times New Roman" w:cs="Times New Roman"/>
        </w:rPr>
      </w:pPr>
      <w:r w:rsidRPr="00D43ACD">
        <w:rPr>
          <w:rFonts w:ascii="Times New Roman" w:eastAsia="Times New Roman" w:hAnsi="Times New Roman" w:cs="Times New Roman"/>
        </w:rPr>
        <w:t xml:space="preserve">How might you use this memo writing practice in your other coursework? In the workplace </w:t>
      </w:r>
      <w:r>
        <w:rPr>
          <w:rFonts w:ascii="Times New Roman" w:eastAsia="Times New Roman" w:hAnsi="Times New Roman" w:cs="Times New Roman"/>
        </w:rPr>
        <w:t xml:space="preserve">or professional </w:t>
      </w:r>
      <w:r w:rsidRPr="00D43ACD">
        <w:rPr>
          <w:rFonts w:ascii="Times New Roman" w:eastAsia="Times New Roman" w:hAnsi="Times New Roman" w:cs="Times New Roman"/>
        </w:rPr>
        <w:t>setting?</w:t>
      </w:r>
    </w:p>
    <w:p w14:paraId="7B320C61" w14:textId="77777777" w:rsidR="00D91945" w:rsidRDefault="00D91945" w:rsidP="00156822">
      <w:pPr>
        <w:pStyle w:val="ListParagraph"/>
        <w:numPr>
          <w:ilvl w:val="0"/>
          <w:numId w:val="49"/>
        </w:numPr>
        <w:spacing w:line="480" w:lineRule="auto"/>
        <w:rPr>
          <w:rFonts w:ascii="Times New Roman" w:eastAsia="Times New Roman" w:hAnsi="Times New Roman" w:cs="Times New Roman"/>
        </w:rPr>
      </w:pPr>
      <w:r w:rsidRPr="00D43ACD">
        <w:rPr>
          <w:rFonts w:ascii="Times New Roman" w:eastAsia="Times New Roman" w:hAnsi="Times New Roman" w:cs="Times New Roman"/>
        </w:rPr>
        <w:t>What is the value of considering negative cases and contradictions in the data?</w:t>
      </w:r>
    </w:p>
    <w:p w14:paraId="4A11F16E" w14:textId="77777777" w:rsidR="00D91945" w:rsidRPr="00D365A0" w:rsidRDefault="00D91945" w:rsidP="00156822">
      <w:pPr>
        <w:pStyle w:val="ListParagraph"/>
        <w:numPr>
          <w:ilvl w:val="0"/>
          <w:numId w:val="49"/>
        </w:numPr>
        <w:spacing w:line="480" w:lineRule="auto"/>
        <w:rPr>
          <w:rFonts w:ascii="Times New Roman" w:eastAsia="Times New Roman" w:hAnsi="Times New Roman" w:cs="Times New Roman"/>
        </w:rPr>
      </w:pPr>
      <w:r>
        <w:rPr>
          <w:rFonts w:ascii="Times New Roman" w:eastAsia="Times New Roman" w:hAnsi="Times New Roman" w:cs="Times New Roman"/>
        </w:rPr>
        <w:t xml:space="preserve">How can a researcher bring their own values and priorities into an </w:t>
      </w:r>
      <w:r w:rsidRPr="00D43ACD">
        <w:rPr>
          <w:rFonts w:ascii="Times New Roman" w:eastAsia="Times New Roman" w:hAnsi="Times New Roman" w:cs="Times New Roman"/>
        </w:rPr>
        <w:t>ethnographic analysis?</w:t>
      </w:r>
    </w:p>
    <w:p w14:paraId="2D67DD1B" w14:textId="77777777" w:rsidR="00D91945" w:rsidRPr="00244296" w:rsidRDefault="00D91945" w:rsidP="00156822">
      <w:pPr>
        <w:pStyle w:val="Heading2"/>
        <w:spacing w:before="0" w:line="480" w:lineRule="auto"/>
        <w:rPr>
          <w:rFonts w:eastAsia="Times New Roman"/>
        </w:rPr>
      </w:pPr>
      <w:r w:rsidRPr="00244296">
        <w:rPr>
          <w:rFonts w:eastAsia="Times New Roman"/>
        </w:rPr>
        <w:t xml:space="preserve">Key Terms: </w:t>
      </w:r>
    </w:p>
    <w:p w14:paraId="049A2DFA" w14:textId="77777777" w:rsidR="00D91945" w:rsidRPr="00244296" w:rsidRDefault="00D91945" w:rsidP="00156822">
      <w:pPr>
        <w:spacing w:line="480" w:lineRule="auto"/>
        <w:rPr>
          <w:rFonts w:ascii="Times New Roman" w:hAnsi="Times New Roman" w:cs="Times New Roman"/>
        </w:rPr>
      </w:pPr>
      <w:r w:rsidRPr="00244296">
        <w:rPr>
          <w:rFonts w:ascii="Times New Roman" w:hAnsi="Times New Roman" w:cs="Times New Roman"/>
        </w:rPr>
        <w:t>Analytic Memos</w:t>
      </w:r>
    </w:p>
    <w:p w14:paraId="29E28924" w14:textId="77777777" w:rsidR="00D91945" w:rsidRPr="00244296" w:rsidRDefault="00D91945" w:rsidP="00156822">
      <w:pPr>
        <w:spacing w:line="480" w:lineRule="auto"/>
        <w:rPr>
          <w:rFonts w:ascii="Times New Roman" w:hAnsi="Times New Roman" w:cs="Times New Roman"/>
        </w:rPr>
      </w:pPr>
      <w:r w:rsidRPr="00244296">
        <w:rPr>
          <w:rFonts w:ascii="Times New Roman" w:hAnsi="Times New Roman" w:cs="Times New Roman"/>
        </w:rPr>
        <w:t>Conceptualization</w:t>
      </w:r>
    </w:p>
    <w:p w14:paraId="72B40231" w14:textId="77777777" w:rsidR="00D91945" w:rsidRPr="00244296" w:rsidRDefault="00D91945" w:rsidP="00156822">
      <w:pPr>
        <w:spacing w:line="480" w:lineRule="auto"/>
        <w:rPr>
          <w:rFonts w:ascii="Times New Roman" w:hAnsi="Times New Roman" w:cs="Times New Roman"/>
        </w:rPr>
      </w:pPr>
      <w:r w:rsidRPr="00244296">
        <w:rPr>
          <w:rFonts w:ascii="Times New Roman" w:hAnsi="Times New Roman" w:cs="Times New Roman"/>
        </w:rPr>
        <w:t>Hierarchies of significance</w:t>
      </w:r>
    </w:p>
    <w:p w14:paraId="7EC50304" w14:textId="77777777" w:rsidR="00D91945" w:rsidRPr="00244296" w:rsidRDefault="00D91945" w:rsidP="00156822">
      <w:pPr>
        <w:spacing w:line="480" w:lineRule="auto"/>
        <w:rPr>
          <w:rFonts w:ascii="Times New Roman" w:hAnsi="Times New Roman" w:cs="Times New Roman"/>
        </w:rPr>
      </w:pPr>
      <w:r w:rsidRPr="00244296">
        <w:rPr>
          <w:rFonts w:ascii="Times New Roman" w:hAnsi="Times New Roman" w:cs="Times New Roman"/>
        </w:rPr>
        <w:lastRenderedPageBreak/>
        <w:t>Interpretation</w:t>
      </w:r>
    </w:p>
    <w:p w14:paraId="67119BF9" w14:textId="77777777" w:rsidR="00D91945" w:rsidRPr="00244296" w:rsidRDefault="00D91945" w:rsidP="00156822">
      <w:pPr>
        <w:spacing w:line="480" w:lineRule="auto"/>
        <w:rPr>
          <w:rFonts w:ascii="Times New Roman" w:hAnsi="Times New Roman" w:cs="Times New Roman"/>
        </w:rPr>
      </w:pPr>
      <w:r w:rsidRPr="00244296">
        <w:rPr>
          <w:rFonts w:ascii="Times New Roman" w:hAnsi="Times New Roman" w:cs="Times New Roman"/>
        </w:rPr>
        <w:t>Iterative-inductive</w:t>
      </w:r>
    </w:p>
    <w:p w14:paraId="29999279" w14:textId="77777777" w:rsidR="00D91945" w:rsidRDefault="00D91945" w:rsidP="00156822">
      <w:pPr>
        <w:spacing w:line="480" w:lineRule="auto"/>
        <w:rPr>
          <w:rFonts w:ascii="Times New Roman" w:hAnsi="Times New Roman" w:cs="Times New Roman"/>
        </w:rPr>
      </w:pPr>
      <w:r w:rsidRPr="00244296">
        <w:rPr>
          <w:rFonts w:ascii="Times New Roman" w:hAnsi="Times New Roman" w:cs="Times New Roman"/>
        </w:rPr>
        <w:t>Key Themes</w:t>
      </w:r>
    </w:p>
    <w:p w14:paraId="0394FED5" w14:textId="77777777" w:rsidR="00D91945" w:rsidRPr="00244296" w:rsidRDefault="00D91945" w:rsidP="00156822">
      <w:pPr>
        <w:spacing w:line="480" w:lineRule="auto"/>
        <w:rPr>
          <w:rFonts w:ascii="Times New Roman" w:hAnsi="Times New Roman" w:cs="Times New Roman"/>
        </w:rPr>
      </w:pPr>
      <w:r>
        <w:rPr>
          <w:rFonts w:ascii="Times New Roman" w:hAnsi="Times New Roman" w:cs="Times New Roman"/>
        </w:rPr>
        <w:t>O</w:t>
      </w:r>
      <w:r w:rsidRPr="00244296">
        <w:rPr>
          <w:rFonts w:ascii="Times New Roman" w:hAnsi="Times New Roman" w:cs="Times New Roman"/>
        </w:rPr>
        <w:t>verarching theme</w:t>
      </w:r>
    </w:p>
    <w:p w14:paraId="0600E0D0" w14:textId="77777777" w:rsidR="00D91945" w:rsidRPr="00244296" w:rsidRDefault="00D91945" w:rsidP="00156822">
      <w:pPr>
        <w:spacing w:line="480" w:lineRule="auto"/>
        <w:rPr>
          <w:rFonts w:ascii="Times New Roman" w:hAnsi="Times New Roman" w:cs="Times New Roman"/>
        </w:rPr>
      </w:pPr>
      <w:r w:rsidRPr="00244296">
        <w:rPr>
          <w:rFonts w:ascii="Times New Roman" w:hAnsi="Times New Roman" w:cs="Times New Roman"/>
        </w:rPr>
        <w:t>Stages of analysis</w:t>
      </w:r>
    </w:p>
    <w:p w14:paraId="6ABD3E36" w14:textId="77777777" w:rsidR="00D91945" w:rsidRPr="00244296" w:rsidRDefault="00D91945" w:rsidP="00156822">
      <w:pPr>
        <w:spacing w:line="480" w:lineRule="auto"/>
        <w:rPr>
          <w:rFonts w:ascii="Times New Roman" w:hAnsi="Times New Roman" w:cs="Times New Roman"/>
        </w:rPr>
      </w:pPr>
      <w:r w:rsidRPr="00244296">
        <w:rPr>
          <w:rFonts w:ascii="Times New Roman" w:hAnsi="Times New Roman" w:cs="Times New Roman"/>
        </w:rPr>
        <w:t>Thematic analysis</w:t>
      </w:r>
    </w:p>
    <w:p w14:paraId="790895B9" w14:textId="7FADE448" w:rsidR="00D91945" w:rsidRDefault="00D91945" w:rsidP="00D91945">
      <w:pPr>
        <w:rPr>
          <w:rFonts w:ascii="Times New Roman" w:eastAsiaTheme="majorEastAsia" w:hAnsi="Times New Roman" w:cs="Times New Roman"/>
          <w:color w:val="2F5496" w:themeColor="accent1" w:themeShade="BF"/>
        </w:rPr>
      </w:pPr>
    </w:p>
    <w:p w14:paraId="5964E0ED" w14:textId="77777777" w:rsidR="00D91945" w:rsidRPr="00475129" w:rsidRDefault="00D91945" w:rsidP="00D91945">
      <w:pPr>
        <w:pStyle w:val="Heading2"/>
        <w:spacing w:line="480" w:lineRule="auto"/>
        <w:jc w:val="center"/>
        <w:rPr>
          <w:rFonts w:ascii="Times New Roman" w:hAnsi="Times New Roman" w:cs="Times New Roman"/>
          <w:sz w:val="24"/>
          <w:szCs w:val="24"/>
        </w:rPr>
      </w:pPr>
      <w:r w:rsidRPr="00475129">
        <w:rPr>
          <w:rFonts w:ascii="Times New Roman" w:hAnsi="Times New Roman" w:cs="Times New Roman"/>
          <w:sz w:val="24"/>
          <w:szCs w:val="24"/>
        </w:rPr>
        <w:t>References</w:t>
      </w:r>
    </w:p>
    <w:p w14:paraId="0E15D4B8" w14:textId="77777777" w:rsidR="00D91945" w:rsidRPr="00D865CB" w:rsidRDefault="00D91945" w:rsidP="00D91945">
      <w:pPr>
        <w:spacing w:line="480" w:lineRule="auto"/>
        <w:ind w:left="720" w:hanging="720"/>
        <w:rPr>
          <w:rFonts w:ascii="Times New Roman" w:eastAsia="Times New Roman" w:hAnsi="Times New Roman" w:cs="Times New Roman"/>
        </w:rPr>
      </w:pPr>
      <w:r w:rsidRPr="00D865CB">
        <w:rPr>
          <w:rFonts w:ascii="Times New Roman" w:eastAsia="Times New Roman" w:hAnsi="Times New Roman" w:cs="Times New Roman"/>
        </w:rPr>
        <w:t xml:space="preserve">Bailey, C. A. (2018). </w:t>
      </w:r>
      <w:r w:rsidRPr="00D865CB">
        <w:rPr>
          <w:rFonts w:ascii="Times New Roman" w:eastAsia="Times New Roman" w:hAnsi="Times New Roman" w:cs="Times New Roman"/>
          <w:i/>
          <w:iCs/>
        </w:rPr>
        <w:t>A Guide to Qualitative Field Research</w:t>
      </w:r>
      <w:r w:rsidRPr="00D865CB">
        <w:rPr>
          <w:rFonts w:ascii="Times New Roman" w:eastAsia="Times New Roman" w:hAnsi="Times New Roman" w:cs="Times New Roman"/>
        </w:rPr>
        <w:t xml:space="preserve"> (3rd ed.). United States: SAGE Publications.</w:t>
      </w:r>
    </w:p>
    <w:p w14:paraId="768E4A8B" w14:textId="77777777" w:rsidR="00D91945" w:rsidRPr="00475129" w:rsidRDefault="00D91945" w:rsidP="00D91945">
      <w:pPr>
        <w:spacing w:line="480" w:lineRule="auto"/>
        <w:ind w:left="720" w:hanging="720"/>
        <w:rPr>
          <w:rFonts w:ascii="Times New Roman" w:eastAsia="Times New Roman" w:hAnsi="Times New Roman" w:cs="Times New Roman"/>
        </w:rPr>
      </w:pPr>
      <w:r w:rsidRPr="00475129">
        <w:rPr>
          <w:rFonts w:ascii="Times New Roman" w:eastAsia="Times New Roman" w:hAnsi="Times New Roman" w:cs="Times New Roman"/>
        </w:rPr>
        <w:t xml:space="preserve">Brewer, J. (2000). </w:t>
      </w:r>
      <w:r w:rsidRPr="00475129">
        <w:rPr>
          <w:rFonts w:ascii="Times New Roman" w:eastAsia="Times New Roman" w:hAnsi="Times New Roman" w:cs="Times New Roman"/>
          <w:i/>
          <w:iCs/>
        </w:rPr>
        <w:t>Ethnography</w:t>
      </w:r>
      <w:r w:rsidRPr="00475129">
        <w:rPr>
          <w:rFonts w:ascii="Times New Roman" w:eastAsia="Times New Roman" w:hAnsi="Times New Roman" w:cs="Times New Roman"/>
        </w:rPr>
        <w:t>. United Kingdom: McGraw-Hill Companies, Incorporated.</w:t>
      </w:r>
    </w:p>
    <w:p w14:paraId="4BCE9D13" w14:textId="77777777" w:rsidR="00D91945" w:rsidRPr="00D865CB" w:rsidRDefault="00D91945" w:rsidP="00D91945">
      <w:pPr>
        <w:spacing w:line="480" w:lineRule="auto"/>
        <w:ind w:left="720" w:hanging="720"/>
        <w:rPr>
          <w:rFonts w:ascii="Times New Roman" w:eastAsia="Times New Roman" w:hAnsi="Times New Roman" w:cs="Times New Roman"/>
        </w:rPr>
      </w:pPr>
      <w:r w:rsidRPr="00D865CB">
        <w:rPr>
          <w:rFonts w:ascii="Times New Roman" w:eastAsia="Times New Roman" w:hAnsi="Times New Roman" w:cs="Times New Roman"/>
        </w:rPr>
        <w:t xml:space="preserve">Madden, R. (2017). </w:t>
      </w:r>
      <w:r w:rsidRPr="00D865CB">
        <w:rPr>
          <w:rFonts w:ascii="Times New Roman" w:eastAsia="Times New Roman" w:hAnsi="Times New Roman" w:cs="Times New Roman"/>
          <w:i/>
          <w:iCs/>
        </w:rPr>
        <w:t>Being Ethnographic: A Guide to the Theory and Practice of Ethnography</w:t>
      </w:r>
      <w:r w:rsidRPr="00D865CB">
        <w:rPr>
          <w:rFonts w:ascii="Times New Roman" w:eastAsia="Times New Roman" w:hAnsi="Times New Roman" w:cs="Times New Roman"/>
        </w:rPr>
        <w:t>. United Kingdom: SAGE Publications.</w:t>
      </w:r>
    </w:p>
    <w:p w14:paraId="506CAF01" w14:textId="77777777" w:rsidR="00D91945" w:rsidRPr="00475129" w:rsidRDefault="00D91945" w:rsidP="00D91945">
      <w:pPr>
        <w:spacing w:line="480" w:lineRule="auto"/>
        <w:ind w:left="720" w:hanging="720"/>
        <w:rPr>
          <w:rFonts w:ascii="Times New Roman" w:eastAsia="Times New Roman" w:hAnsi="Times New Roman" w:cs="Times New Roman"/>
        </w:rPr>
      </w:pPr>
      <w:r w:rsidRPr="00475129">
        <w:rPr>
          <w:rFonts w:ascii="Times New Roman" w:eastAsia="Times New Roman" w:hAnsi="Times New Roman" w:cs="Times New Roman"/>
        </w:rPr>
        <w:t xml:space="preserve">Miles, M. B., Huberman, A. M., &amp; </w:t>
      </w:r>
      <w:proofErr w:type="spellStart"/>
      <w:r w:rsidRPr="00475129">
        <w:rPr>
          <w:rFonts w:ascii="Times New Roman" w:eastAsia="Times New Roman" w:hAnsi="Times New Roman" w:cs="Times New Roman"/>
        </w:rPr>
        <w:t>Saldaña</w:t>
      </w:r>
      <w:proofErr w:type="spellEnd"/>
      <w:r w:rsidRPr="00475129">
        <w:rPr>
          <w:rFonts w:ascii="Times New Roman" w:eastAsia="Times New Roman" w:hAnsi="Times New Roman" w:cs="Times New Roman"/>
        </w:rPr>
        <w:t xml:space="preserve">, J. (2019). </w:t>
      </w:r>
      <w:r w:rsidRPr="00475129">
        <w:rPr>
          <w:rFonts w:ascii="Times New Roman" w:eastAsia="Times New Roman" w:hAnsi="Times New Roman" w:cs="Times New Roman"/>
          <w:i/>
          <w:iCs/>
        </w:rPr>
        <w:t>Qualitative Data Analysis: A Methods Sourcebook</w:t>
      </w:r>
      <w:r w:rsidRPr="00475129">
        <w:rPr>
          <w:rFonts w:ascii="Times New Roman" w:eastAsia="Times New Roman" w:hAnsi="Times New Roman" w:cs="Times New Roman"/>
        </w:rPr>
        <w:t xml:space="preserve"> (4th ed.). India: Sage Publications.</w:t>
      </w:r>
    </w:p>
    <w:p w14:paraId="74828FAE" w14:textId="77777777" w:rsidR="00D91945" w:rsidRPr="004867E4" w:rsidRDefault="00D91945" w:rsidP="00D91945">
      <w:pPr>
        <w:spacing w:line="480" w:lineRule="auto"/>
        <w:ind w:left="720" w:hanging="720"/>
        <w:rPr>
          <w:rFonts w:ascii="Times New Roman" w:eastAsia="Times New Roman" w:hAnsi="Times New Roman" w:cs="Times New Roman"/>
        </w:rPr>
      </w:pPr>
      <w:r w:rsidRPr="004867E4">
        <w:rPr>
          <w:rFonts w:ascii="Times New Roman" w:eastAsia="Times New Roman" w:hAnsi="Times New Roman" w:cs="Times New Roman"/>
        </w:rPr>
        <w:t xml:space="preserve">Murchison, J. (2010). </w:t>
      </w:r>
      <w:r w:rsidRPr="004867E4">
        <w:rPr>
          <w:rFonts w:ascii="Times New Roman" w:eastAsia="Times New Roman" w:hAnsi="Times New Roman" w:cs="Times New Roman"/>
          <w:i/>
          <w:iCs/>
        </w:rPr>
        <w:t>Ethnography Essentials: Designing, Conducting, and Presenting Your Research</w:t>
      </w:r>
      <w:r w:rsidRPr="004867E4">
        <w:rPr>
          <w:rFonts w:ascii="Times New Roman" w:eastAsia="Times New Roman" w:hAnsi="Times New Roman" w:cs="Times New Roman"/>
        </w:rPr>
        <w:t>. Germany: Wiley.</w:t>
      </w:r>
    </w:p>
    <w:p w14:paraId="4FCEE9A4" w14:textId="77777777" w:rsidR="00D91945" w:rsidRPr="00475129" w:rsidRDefault="00D91945" w:rsidP="00D91945">
      <w:pPr>
        <w:spacing w:line="480" w:lineRule="auto"/>
        <w:ind w:left="720" w:hanging="720"/>
        <w:rPr>
          <w:rFonts w:ascii="Times New Roman" w:hAnsi="Times New Roman" w:cs="Times New Roman"/>
        </w:rPr>
      </w:pPr>
      <w:r w:rsidRPr="00475129">
        <w:rPr>
          <w:rFonts w:ascii="Times New Roman" w:hAnsi="Times New Roman" w:cs="Times New Roman"/>
        </w:rPr>
        <w:t>O'Reilly, K. (2012). Ethnographic Methods. United Kingdom: Taylor &amp; Francis.</w:t>
      </w:r>
    </w:p>
    <w:p w14:paraId="4FE613EA" w14:textId="77777777" w:rsidR="00D91945" w:rsidRPr="00265D5E" w:rsidRDefault="00D91945" w:rsidP="00D91945">
      <w:pPr>
        <w:spacing w:line="480" w:lineRule="auto"/>
        <w:ind w:left="720" w:hanging="720"/>
        <w:rPr>
          <w:rFonts w:ascii="Times New Roman" w:eastAsia="Times New Roman" w:hAnsi="Times New Roman" w:cs="Times New Roman"/>
        </w:rPr>
      </w:pPr>
      <w:proofErr w:type="spellStart"/>
      <w:r w:rsidRPr="00265D5E">
        <w:rPr>
          <w:rFonts w:ascii="Times New Roman" w:eastAsia="Times New Roman" w:hAnsi="Times New Roman" w:cs="Times New Roman"/>
        </w:rPr>
        <w:t>Saldaña</w:t>
      </w:r>
      <w:proofErr w:type="spellEnd"/>
      <w:r w:rsidRPr="00265D5E">
        <w:rPr>
          <w:rFonts w:ascii="Times New Roman" w:eastAsia="Times New Roman" w:hAnsi="Times New Roman" w:cs="Times New Roman"/>
        </w:rPr>
        <w:t xml:space="preserve">, J. (2011). </w:t>
      </w:r>
      <w:r w:rsidRPr="00265D5E">
        <w:rPr>
          <w:rFonts w:ascii="Times New Roman" w:eastAsia="Times New Roman" w:hAnsi="Times New Roman" w:cs="Times New Roman"/>
          <w:i/>
          <w:iCs/>
        </w:rPr>
        <w:t>Fundamentals of Qualitative Research</w:t>
      </w:r>
      <w:r w:rsidRPr="00265D5E">
        <w:rPr>
          <w:rFonts w:ascii="Times New Roman" w:eastAsia="Times New Roman" w:hAnsi="Times New Roman" w:cs="Times New Roman"/>
        </w:rPr>
        <w:t>. United Kingdom: Oxford University Press.</w:t>
      </w:r>
    </w:p>
    <w:p w14:paraId="4896E1F5" w14:textId="77777777" w:rsidR="00D91945" w:rsidRPr="00A13F28" w:rsidRDefault="00D91945" w:rsidP="00D91945">
      <w:pPr>
        <w:spacing w:line="480" w:lineRule="auto"/>
        <w:ind w:left="720" w:hanging="720"/>
        <w:rPr>
          <w:rFonts w:ascii="Times New Roman" w:eastAsia="Times New Roman" w:hAnsi="Times New Roman" w:cs="Times New Roman"/>
        </w:rPr>
      </w:pPr>
      <w:r w:rsidRPr="00A13F28">
        <w:rPr>
          <w:rFonts w:ascii="Times New Roman" w:eastAsia="Times New Roman" w:hAnsi="Times New Roman" w:cs="Times New Roman"/>
        </w:rPr>
        <w:t>Scott-Jones, J., &amp; Watt, S. (2010). Ethnography in Social Science Practice. United Kingdom: Taylor &amp; Francis.</w:t>
      </w:r>
    </w:p>
    <w:p w14:paraId="5F6747B2" w14:textId="77777777" w:rsidR="00D91945" w:rsidRPr="00475129" w:rsidRDefault="00D91945" w:rsidP="00D91945">
      <w:pPr>
        <w:spacing w:line="480" w:lineRule="auto"/>
        <w:ind w:left="720" w:hanging="720"/>
        <w:rPr>
          <w:rFonts w:ascii="Times New Roman" w:eastAsia="Times New Roman" w:hAnsi="Times New Roman" w:cs="Times New Roman"/>
        </w:rPr>
      </w:pPr>
      <w:r w:rsidRPr="00475129">
        <w:rPr>
          <w:rFonts w:ascii="Times New Roman" w:eastAsia="Times New Roman" w:hAnsi="Times New Roman" w:cs="Times New Roman"/>
        </w:rPr>
        <w:t xml:space="preserve">Torres- Rivera, C. (2019). Coding Qualitative Data. </w:t>
      </w:r>
    </w:p>
    <w:p w14:paraId="183673C0" w14:textId="77777777" w:rsidR="00D91945" w:rsidRPr="00475129" w:rsidRDefault="00D91945" w:rsidP="00D91945">
      <w:pPr>
        <w:spacing w:line="480" w:lineRule="auto"/>
        <w:ind w:left="720" w:hanging="720"/>
        <w:rPr>
          <w:rFonts w:ascii="Times New Roman" w:eastAsia="Times New Roman" w:hAnsi="Times New Roman" w:cs="Times New Roman"/>
        </w:rPr>
      </w:pPr>
      <w:r w:rsidRPr="00475129">
        <w:rPr>
          <w:rFonts w:ascii="Times New Roman" w:eastAsia="Times New Roman" w:hAnsi="Times New Roman" w:cs="Times New Roman"/>
        </w:rPr>
        <w:lastRenderedPageBreak/>
        <w:t xml:space="preserve">Woodcock, J. (2017). Working the Phones: Control and </w:t>
      </w:r>
      <w:proofErr w:type="spellStart"/>
      <w:r w:rsidRPr="00475129">
        <w:rPr>
          <w:rFonts w:ascii="Times New Roman" w:eastAsia="Times New Roman" w:hAnsi="Times New Roman" w:cs="Times New Roman"/>
        </w:rPr>
        <w:t>Resista</w:t>
      </w:r>
      <w:proofErr w:type="spellEnd"/>
      <w:r w:rsidRPr="00475129">
        <w:rPr>
          <w:rFonts w:ascii="Times New Roman" w:eastAsia="Times New Roman" w:hAnsi="Times New Roman" w:cs="Times New Roman"/>
        </w:rPr>
        <w:t xml:space="preserve"> </w:t>
      </w:r>
      <w:proofErr w:type="spellStart"/>
      <w:r w:rsidRPr="00475129">
        <w:rPr>
          <w:rFonts w:ascii="Times New Roman" w:eastAsia="Times New Roman" w:hAnsi="Times New Roman" w:cs="Times New Roman"/>
        </w:rPr>
        <w:t>nce</w:t>
      </w:r>
      <w:proofErr w:type="spellEnd"/>
      <w:r w:rsidRPr="00475129">
        <w:rPr>
          <w:rFonts w:ascii="Times New Roman" w:eastAsia="Times New Roman" w:hAnsi="Times New Roman" w:cs="Times New Roman"/>
        </w:rPr>
        <w:t xml:space="preserve"> in Call </w:t>
      </w:r>
      <w:proofErr w:type="spellStart"/>
      <w:r w:rsidRPr="00475129">
        <w:rPr>
          <w:rFonts w:ascii="Times New Roman" w:eastAsia="Times New Roman" w:hAnsi="Times New Roman" w:cs="Times New Roman"/>
        </w:rPr>
        <w:t>Centres</w:t>
      </w:r>
      <w:proofErr w:type="spellEnd"/>
      <w:r w:rsidRPr="00475129">
        <w:rPr>
          <w:rFonts w:ascii="Times New Roman" w:eastAsia="Times New Roman" w:hAnsi="Times New Roman" w:cs="Times New Roman"/>
        </w:rPr>
        <w:t>. United Kingdom: Pluto Press.</w:t>
      </w:r>
    </w:p>
    <w:p w14:paraId="5CACF979" w14:textId="77777777" w:rsidR="00156822" w:rsidRDefault="00156822">
      <w:pPr>
        <w:rPr>
          <w:rFonts w:asciiTheme="majorHAnsi" w:eastAsiaTheme="majorEastAsia" w:hAnsiTheme="majorHAnsi" w:cstheme="majorBidi"/>
          <w:sz w:val="26"/>
          <w:szCs w:val="26"/>
        </w:rPr>
      </w:pPr>
      <w:r>
        <w:br w:type="page"/>
      </w:r>
    </w:p>
    <w:p w14:paraId="415DE7E9" w14:textId="36830D96" w:rsidR="00D91945" w:rsidRPr="003D3434" w:rsidRDefault="00D91945" w:rsidP="00D91945">
      <w:pPr>
        <w:pStyle w:val="Heading2"/>
        <w:rPr>
          <w:color w:val="auto"/>
        </w:rPr>
      </w:pPr>
      <w:r>
        <w:rPr>
          <w:color w:val="auto"/>
        </w:rPr>
        <w:lastRenderedPageBreak/>
        <w:t>Glossary</w:t>
      </w:r>
    </w:p>
    <w:p w14:paraId="4A96A9F0" w14:textId="77777777" w:rsidR="00D91945" w:rsidRPr="00794C1E" w:rsidRDefault="00D91945" w:rsidP="00D91945">
      <w:pPr>
        <w:rPr>
          <w:rFonts w:ascii="Times New Roman" w:hAnsi="Times New Roman" w:cs="Times New Roman"/>
        </w:rPr>
      </w:pPr>
    </w:p>
    <w:p w14:paraId="1102434B"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Active Listener</w:t>
      </w:r>
      <w:r w:rsidRPr="00794C1E">
        <w:rPr>
          <w:rFonts w:ascii="Times New Roman" w:hAnsi="Times New Roman" w:cs="Times New Roman"/>
        </w:rPr>
        <w:t xml:space="preserve"> – Someone who is visibly engaged through eye contact and body language, pays attention to the subtleties in tone and word-selection the informant and take notes that will lead to follow-up questions based on the responses of the interviewee.</w:t>
      </w:r>
    </w:p>
    <w:p w14:paraId="1EDC4554" w14:textId="77777777" w:rsidR="00D91945" w:rsidRPr="00794C1E" w:rsidRDefault="00D91945" w:rsidP="00C23CDB">
      <w:pPr>
        <w:pStyle w:val="ListParagraph"/>
        <w:numPr>
          <w:ilvl w:val="0"/>
          <w:numId w:val="24"/>
        </w:numPr>
        <w:rPr>
          <w:rFonts w:ascii="Times New Roman" w:hAnsi="Times New Roman" w:cs="Times New Roman"/>
        </w:rPr>
      </w:pPr>
      <w:r w:rsidRPr="00794C1E">
        <w:rPr>
          <w:rFonts w:ascii="Times New Roman" w:hAnsi="Times New Roman" w:cs="Times New Roman"/>
          <w:b/>
        </w:rPr>
        <w:t>Anonymity</w:t>
      </w:r>
      <w:r w:rsidRPr="00794C1E">
        <w:rPr>
          <w:rFonts w:ascii="Times New Roman" w:hAnsi="Times New Roman" w:cs="Times New Roman"/>
        </w:rPr>
        <w:t>—a research subject has anonymity when there is no way to connect them to the specific data they supplied.</w:t>
      </w:r>
    </w:p>
    <w:p w14:paraId="035C5A05" w14:textId="77777777" w:rsidR="00D91945" w:rsidRPr="00794C1E" w:rsidRDefault="00D91945" w:rsidP="00C23CDB">
      <w:pPr>
        <w:pStyle w:val="ListParagraph"/>
        <w:numPr>
          <w:ilvl w:val="0"/>
          <w:numId w:val="50"/>
        </w:numPr>
        <w:rPr>
          <w:rFonts w:ascii="Times New Roman" w:eastAsia="Times New Roman" w:hAnsi="Times New Roman" w:cs="Times New Roman"/>
          <w:bCs/>
        </w:rPr>
      </w:pPr>
      <w:r w:rsidRPr="00794C1E">
        <w:rPr>
          <w:rFonts w:ascii="Times New Roman" w:eastAsia="Times New Roman" w:hAnsi="Times New Roman" w:cs="Times New Roman"/>
          <w:b/>
          <w:bCs/>
        </w:rPr>
        <w:t>Autoethnography</w:t>
      </w:r>
      <w:r w:rsidRPr="00794C1E">
        <w:rPr>
          <w:rFonts w:ascii="Times New Roman" w:eastAsia="Times New Roman" w:hAnsi="Times New Roman" w:cs="Times New Roman"/>
          <w:bCs/>
        </w:rPr>
        <w:t>—A reflective process that engages the personal stories of the researcher to understand the larger context</w:t>
      </w:r>
    </w:p>
    <w:p w14:paraId="08F635A1"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Bias</w:t>
      </w:r>
      <w:r w:rsidRPr="00794C1E">
        <w:rPr>
          <w:rFonts w:ascii="Times New Roman" w:hAnsi="Times New Roman" w:cs="Times New Roman"/>
        </w:rPr>
        <w:t xml:space="preserve"> - </w:t>
      </w:r>
      <w:r w:rsidRPr="00794C1E">
        <w:rPr>
          <w:rStyle w:val="Emphasis"/>
          <w:rFonts w:ascii="Times New Roman" w:hAnsi="Times New Roman" w:cs="Times New Roman"/>
        </w:rPr>
        <w:t>Bias</w:t>
      </w:r>
      <w:r w:rsidRPr="00794C1E">
        <w:rPr>
          <w:rStyle w:val="st"/>
          <w:rFonts w:ascii="Times New Roman" w:hAnsi="Times New Roman" w:cs="Times New Roman"/>
        </w:rPr>
        <w:t xml:space="preserve"> is defined as any tendency which prevents unprejudiced consideration of a question. In </w:t>
      </w:r>
      <w:r w:rsidRPr="00794C1E">
        <w:rPr>
          <w:rStyle w:val="Emphasis"/>
          <w:rFonts w:ascii="Times New Roman" w:hAnsi="Times New Roman" w:cs="Times New Roman"/>
        </w:rPr>
        <w:t>research</w:t>
      </w:r>
      <w:r w:rsidRPr="00794C1E">
        <w:rPr>
          <w:rStyle w:val="st"/>
          <w:rFonts w:ascii="Times New Roman" w:hAnsi="Times New Roman" w:cs="Times New Roman"/>
        </w:rPr>
        <w:t xml:space="preserve">, </w:t>
      </w:r>
      <w:r w:rsidRPr="00794C1E">
        <w:rPr>
          <w:rStyle w:val="Emphasis"/>
          <w:rFonts w:ascii="Times New Roman" w:hAnsi="Times New Roman" w:cs="Times New Roman"/>
        </w:rPr>
        <w:t>bias</w:t>
      </w:r>
      <w:r w:rsidRPr="00794C1E">
        <w:rPr>
          <w:rStyle w:val="st"/>
          <w:rFonts w:ascii="Times New Roman" w:hAnsi="Times New Roman" w:cs="Times New Roman"/>
        </w:rPr>
        <w:t xml:space="preserve"> occurs when “systematic error [is] introduced into sampling or testing by selecting or encouraging one outcome or answer over others.”</w:t>
      </w:r>
    </w:p>
    <w:p w14:paraId="687423B9"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Building rapport</w:t>
      </w:r>
      <w:r w:rsidRPr="00794C1E">
        <w:rPr>
          <w:rFonts w:ascii="Times New Roman" w:hAnsi="Times New Roman" w:cs="Times New Roman"/>
        </w:rPr>
        <w:t xml:space="preserve"> - </w:t>
      </w:r>
      <w:r w:rsidRPr="00794C1E">
        <w:rPr>
          <w:rStyle w:val="e24kjd"/>
          <w:rFonts w:ascii="Times New Roman" w:hAnsi="Times New Roman" w:cs="Times New Roman"/>
        </w:rPr>
        <w:t>You build rapport when you develop mutual trust, friendship and affinity with someone.</w:t>
      </w:r>
    </w:p>
    <w:p w14:paraId="4A8B5FED"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Code</w:t>
      </w:r>
      <w:r w:rsidRPr="00794C1E">
        <w:rPr>
          <w:rFonts w:ascii="Times New Roman" w:hAnsi="Times New Roman" w:cs="Times New Roman"/>
        </w:rPr>
        <w:t xml:space="preserve"> – The marking of patterns, commonalities and differences between events described by an individual, or in comparison to other narratives collected.</w:t>
      </w:r>
    </w:p>
    <w:p w14:paraId="5FEBDA44" w14:textId="77777777" w:rsidR="00D91945" w:rsidRPr="00794C1E" w:rsidRDefault="00D91945" w:rsidP="00C23CDB">
      <w:pPr>
        <w:pStyle w:val="ListParagraph"/>
        <w:numPr>
          <w:ilvl w:val="0"/>
          <w:numId w:val="24"/>
        </w:numPr>
        <w:rPr>
          <w:rFonts w:ascii="Times New Roman" w:hAnsi="Times New Roman" w:cs="Times New Roman"/>
        </w:rPr>
      </w:pPr>
      <w:r w:rsidRPr="00794C1E">
        <w:rPr>
          <w:rFonts w:ascii="Times New Roman" w:hAnsi="Times New Roman" w:cs="Times New Roman"/>
          <w:b/>
        </w:rPr>
        <w:t>Code of ethics</w:t>
      </w:r>
      <w:r w:rsidRPr="00794C1E">
        <w:rPr>
          <w:rFonts w:ascii="Times New Roman" w:hAnsi="Times New Roman" w:cs="Times New Roman"/>
        </w:rPr>
        <w:t>—A code of ethics directs people or organizations in making decisions that are in line with their values</w:t>
      </w:r>
    </w:p>
    <w:p w14:paraId="7621545E" w14:textId="77777777" w:rsidR="00D91945" w:rsidRPr="00794C1E" w:rsidRDefault="00D91945" w:rsidP="00C23CDB">
      <w:pPr>
        <w:pStyle w:val="ListParagraph"/>
        <w:numPr>
          <w:ilvl w:val="0"/>
          <w:numId w:val="24"/>
        </w:numPr>
        <w:rPr>
          <w:rFonts w:ascii="Times New Roman" w:hAnsi="Times New Roman" w:cs="Times New Roman"/>
        </w:rPr>
      </w:pPr>
      <w:r w:rsidRPr="00794C1E">
        <w:rPr>
          <w:rFonts w:ascii="Times New Roman" w:hAnsi="Times New Roman" w:cs="Times New Roman"/>
          <w:b/>
        </w:rPr>
        <w:t>Confidentiality</w:t>
      </w:r>
      <w:r w:rsidRPr="00794C1E">
        <w:rPr>
          <w:rFonts w:ascii="Times New Roman" w:hAnsi="Times New Roman" w:cs="Times New Roman"/>
        </w:rPr>
        <w:t xml:space="preserve">—a research subject has confidentiality if their identities are known by the researchers but protected from exposure </w:t>
      </w:r>
    </w:p>
    <w:p w14:paraId="77AE890A" w14:textId="77777777" w:rsidR="00D91945" w:rsidRPr="00794C1E" w:rsidRDefault="00D91945" w:rsidP="00C23CDB">
      <w:pPr>
        <w:pStyle w:val="ListParagraph"/>
        <w:numPr>
          <w:ilvl w:val="0"/>
          <w:numId w:val="50"/>
        </w:numPr>
        <w:rPr>
          <w:rFonts w:ascii="Times New Roman" w:eastAsia="Times New Roman" w:hAnsi="Times New Roman" w:cs="Times New Roman"/>
        </w:rPr>
      </w:pPr>
      <w:r w:rsidRPr="00794C1E">
        <w:rPr>
          <w:rFonts w:ascii="Times New Roman" w:eastAsia="Times New Roman" w:hAnsi="Times New Roman" w:cs="Times New Roman"/>
          <w:b/>
        </w:rPr>
        <w:t>Cultural Norms</w:t>
      </w:r>
      <w:r w:rsidRPr="00794C1E">
        <w:rPr>
          <w:rFonts w:ascii="Times New Roman" w:eastAsia="Times New Roman" w:hAnsi="Times New Roman" w:cs="Times New Roman"/>
        </w:rPr>
        <w:t xml:space="preserve">- the shared expectations and rules of behavior and practice within a </w:t>
      </w:r>
      <w:proofErr w:type="gramStart"/>
      <w:r w:rsidRPr="00794C1E">
        <w:rPr>
          <w:rFonts w:ascii="Times New Roman" w:eastAsia="Times New Roman" w:hAnsi="Times New Roman" w:cs="Times New Roman"/>
        </w:rPr>
        <w:t>particular culture</w:t>
      </w:r>
      <w:proofErr w:type="gramEnd"/>
      <w:r w:rsidRPr="00794C1E">
        <w:rPr>
          <w:rFonts w:ascii="Times New Roman" w:eastAsia="Times New Roman" w:hAnsi="Times New Roman" w:cs="Times New Roman"/>
        </w:rPr>
        <w:t xml:space="preserve"> or society</w:t>
      </w:r>
    </w:p>
    <w:p w14:paraId="7DCC3E3D" w14:textId="77777777" w:rsidR="00D91945" w:rsidRPr="00794C1E" w:rsidRDefault="00D91945" w:rsidP="00C23CDB">
      <w:pPr>
        <w:pStyle w:val="ListParagraph"/>
        <w:numPr>
          <w:ilvl w:val="0"/>
          <w:numId w:val="50"/>
        </w:numPr>
        <w:rPr>
          <w:rFonts w:ascii="Times New Roman" w:eastAsia="Times New Roman" w:hAnsi="Times New Roman" w:cs="Times New Roman"/>
        </w:rPr>
      </w:pPr>
      <w:r w:rsidRPr="00794C1E">
        <w:rPr>
          <w:rFonts w:ascii="Times New Roman" w:eastAsia="Times New Roman" w:hAnsi="Times New Roman" w:cs="Times New Roman"/>
          <w:b/>
        </w:rPr>
        <w:t>Cultural Relativism</w:t>
      </w:r>
      <w:r w:rsidRPr="00794C1E">
        <w:rPr>
          <w:rFonts w:ascii="Times New Roman" w:eastAsia="Times New Roman" w:hAnsi="Times New Roman" w:cs="Times New Roman"/>
        </w:rPr>
        <w:t>- the concept that people’s beliefs and practices should be understood based on their own cultural norms and not judged based on those of another culture</w:t>
      </w:r>
    </w:p>
    <w:p w14:paraId="1F7CA2DF" w14:textId="77777777" w:rsidR="00D91945" w:rsidRPr="00794C1E" w:rsidRDefault="00D91945" w:rsidP="00C23CDB">
      <w:pPr>
        <w:pStyle w:val="ListParagraph"/>
        <w:numPr>
          <w:ilvl w:val="0"/>
          <w:numId w:val="24"/>
        </w:numPr>
        <w:rPr>
          <w:rFonts w:ascii="Times New Roman" w:hAnsi="Times New Roman" w:cs="Times New Roman"/>
        </w:rPr>
      </w:pPr>
      <w:r w:rsidRPr="00794C1E">
        <w:rPr>
          <w:rFonts w:ascii="Times New Roman" w:hAnsi="Times New Roman" w:cs="Times New Roman"/>
          <w:b/>
        </w:rPr>
        <w:t>Debriefing</w:t>
      </w:r>
      <w:r w:rsidRPr="00794C1E">
        <w:rPr>
          <w:rFonts w:ascii="Times New Roman" w:hAnsi="Times New Roman" w:cs="Times New Roman"/>
        </w:rPr>
        <w:t>—following the end of a research project, debriefing is recommended or required to ensure no harm has come to research subjects</w:t>
      </w:r>
    </w:p>
    <w:p w14:paraId="0B811078" w14:textId="77777777" w:rsidR="00D91945" w:rsidRPr="00794C1E" w:rsidRDefault="00D91945" w:rsidP="00C23CDB">
      <w:pPr>
        <w:pStyle w:val="ListParagraph"/>
        <w:numPr>
          <w:ilvl w:val="0"/>
          <w:numId w:val="24"/>
        </w:numPr>
        <w:rPr>
          <w:rFonts w:ascii="Times New Roman" w:hAnsi="Times New Roman" w:cs="Times New Roman"/>
        </w:rPr>
      </w:pPr>
      <w:r w:rsidRPr="00794C1E">
        <w:rPr>
          <w:rFonts w:ascii="Times New Roman" w:hAnsi="Times New Roman" w:cs="Times New Roman"/>
          <w:b/>
        </w:rPr>
        <w:t>Deception</w:t>
      </w:r>
      <w:r w:rsidRPr="00794C1E">
        <w:rPr>
          <w:rFonts w:ascii="Times New Roman" w:hAnsi="Times New Roman" w:cs="Times New Roman"/>
        </w:rPr>
        <w:t>—not revealing the true nature, purpose or process of a research study</w:t>
      </w:r>
    </w:p>
    <w:p w14:paraId="71617BB2" w14:textId="77777777" w:rsidR="00D91945" w:rsidRPr="00794C1E" w:rsidRDefault="00D91945" w:rsidP="00C23CDB">
      <w:pPr>
        <w:pStyle w:val="ListParagraph"/>
        <w:numPr>
          <w:ilvl w:val="0"/>
          <w:numId w:val="50"/>
        </w:numPr>
        <w:rPr>
          <w:rFonts w:ascii="Times New Roman" w:eastAsia="Times New Roman" w:hAnsi="Times New Roman" w:cs="Times New Roman"/>
        </w:rPr>
      </w:pPr>
      <w:r w:rsidRPr="00794C1E">
        <w:rPr>
          <w:rFonts w:ascii="Times New Roman" w:eastAsia="Times New Roman" w:hAnsi="Times New Roman" w:cs="Times New Roman"/>
          <w:b/>
        </w:rPr>
        <w:t>Empathy</w:t>
      </w:r>
      <w:r w:rsidRPr="00794C1E">
        <w:rPr>
          <w:rFonts w:ascii="Times New Roman" w:eastAsia="Times New Roman" w:hAnsi="Times New Roman" w:cs="Times New Roman"/>
        </w:rPr>
        <w:t>- the ability to deeply understand and share the feelings of another through their perspective or point of view</w:t>
      </w:r>
    </w:p>
    <w:p w14:paraId="43D34D08" w14:textId="77777777" w:rsidR="00D91945" w:rsidRPr="00794C1E" w:rsidRDefault="00D91945" w:rsidP="00C23CDB">
      <w:pPr>
        <w:pStyle w:val="ListParagraph"/>
        <w:numPr>
          <w:ilvl w:val="0"/>
          <w:numId w:val="50"/>
        </w:numPr>
        <w:rPr>
          <w:rFonts w:ascii="Times New Roman" w:eastAsia="Times New Roman" w:hAnsi="Times New Roman" w:cs="Times New Roman"/>
        </w:rPr>
      </w:pPr>
      <w:r w:rsidRPr="00794C1E">
        <w:rPr>
          <w:rFonts w:ascii="Times New Roman" w:eastAsia="Times New Roman" w:hAnsi="Times New Roman" w:cs="Times New Roman"/>
          <w:b/>
        </w:rPr>
        <w:t>Epiphanies</w:t>
      </w:r>
      <w:r w:rsidRPr="00794C1E">
        <w:rPr>
          <w:rFonts w:ascii="Times New Roman" w:eastAsia="Times New Roman" w:hAnsi="Times New Roman" w:cs="Times New Roman"/>
        </w:rPr>
        <w:t>—some event or occurrence that changes the perspective, direction or understanding of the person to whom it occurs</w:t>
      </w:r>
    </w:p>
    <w:p w14:paraId="1C3EFF01" w14:textId="77777777" w:rsidR="00D91945" w:rsidRPr="00794C1E" w:rsidRDefault="00D91945" w:rsidP="00C23CDB">
      <w:pPr>
        <w:pStyle w:val="ListParagraph"/>
        <w:numPr>
          <w:ilvl w:val="0"/>
          <w:numId w:val="50"/>
        </w:numPr>
        <w:rPr>
          <w:rFonts w:ascii="Times New Roman" w:eastAsia="Times New Roman" w:hAnsi="Times New Roman" w:cs="Times New Roman"/>
        </w:rPr>
      </w:pPr>
      <w:r w:rsidRPr="00794C1E">
        <w:rPr>
          <w:rFonts w:ascii="Times New Roman" w:eastAsia="Times New Roman" w:hAnsi="Times New Roman" w:cs="Times New Roman"/>
          <w:b/>
        </w:rPr>
        <w:t>Ethnocentrism</w:t>
      </w:r>
      <w:r w:rsidRPr="00794C1E">
        <w:rPr>
          <w:rFonts w:ascii="Times New Roman" w:eastAsia="Times New Roman" w:hAnsi="Times New Roman" w:cs="Times New Roman"/>
        </w:rPr>
        <w:t>- using the cultural norms of your own culture to evaluate and judge the beliefs and practices of another culture</w:t>
      </w:r>
    </w:p>
    <w:p w14:paraId="37C98DB3" w14:textId="77777777" w:rsidR="00D91945" w:rsidRPr="00794C1E" w:rsidRDefault="00D91945" w:rsidP="00C23CDB">
      <w:pPr>
        <w:pStyle w:val="ListParagraph"/>
        <w:numPr>
          <w:ilvl w:val="0"/>
          <w:numId w:val="24"/>
        </w:numPr>
        <w:rPr>
          <w:rFonts w:ascii="Times New Roman" w:hAnsi="Times New Roman" w:cs="Times New Roman"/>
        </w:rPr>
      </w:pPr>
      <w:r w:rsidRPr="00794C1E">
        <w:rPr>
          <w:rFonts w:ascii="Times New Roman" w:hAnsi="Times New Roman" w:cs="Times New Roman"/>
          <w:b/>
        </w:rPr>
        <w:t>Ethnographer</w:t>
      </w:r>
      <w:r w:rsidRPr="00794C1E">
        <w:rPr>
          <w:rFonts w:ascii="Times New Roman" w:hAnsi="Times New Roman" w:cs="Times New Roman"/>
        </w:rPr>
        <w:t xml:space="preserve"> - A researcher who studies a phenomenon with first-hand experience through methods of survey, interviews, observation, mapping, among others. This is done over a longer </w:t>
      </w:r>
      <w:proofErr w:type="gramStart"/>
      <w:r w:rsidRPr="00794C1E">
        <w:rPr>
          <w:rFonts w:ascii="Times New Roman" w:hAnsi="Times New Roman" w:cs="Times New Roman"/>
        </w:rPr>
        <w:t>period of time</w:t>
      </w:r>
      <w:proofErr w:type="gramEnd"/>
      <w:r w:rsidRPr="00794C1E">
        <w:rPr>
          <w:rFonts w:ascii="Times New Roman" w:hAnsi="Times New Roman" w:cs="Times New Roman"/>
        </w:rPr>
        <w:t>.</w:t>
      </w:r>
    </w:p>
    <w:p w14:paraId="4A4DD8AE" w14:textId="77777777" w:rsidR="00D91945" w:rsidRPr="00794C1E" w:rsidRDefault="00D91945" w:rsidP="00C23CDB">
      <w:pPr>
        <w:pStyle w:val="NoSpacing"/>
        <w:numPr>
          <w:ilvl w:val="0"/>
          <w:numId w:val="24"/>
        </w:numPr>
        <w:rPr>
          <w:rFonts w:cs="Times New Roman"/>
          <w:szCs w:val="24"/>
        </w:rPr>
      </w:pPr>
      <w:r w:rsidRPr="00794C1E">
        <w:rPr>
          <w:rFonts w:cs="Times New Roman"/>
          <w:b/>
          <w:szCs w:val="24"/>
        </w:rPr>
        <w:t>Ethnographic methods</w:t>
      </w:r>
      <w:r w:rsidRPr="00794C1E">
        <w:rPr>
          <w:rFonts w:cs="Times New Roman"/>
          <w:szCs w:val="24"/>
        </w:rPr>
        <w:t xml:space="preserve"> - Techniques used for data collection in research projects that can be qualitative or quantitative. Ethnographic methods include interviews, participant-observation, focus groups, mapping, or surveys.</w:t>
      </w:r>
    </w:p>
    <w:p w14:paraId="277E5E15"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Ethnography</w:t>
      </w:r>
      <w:r w:rsidRPr="00794C1E">
        <w:rPr>
          <w:rFonts w:ascii="Times New Roman" w:hAnsi="Times New Roman" w:cs="Times New Roman"/>
        </w:rPr>
        <w:t xml:space="preserve"> - A research method that employs a strategy that includes both active participation and passive observation. Ethnography is writing about people over time.</w:t>
      </w:r>
    </w:p>
    <w:p w14:paraId="35EC216C" w14:textId="77777777" w:rsidR="00D91945" w:rsidRPr="00794C1E" w:rsidRDefault="00D91945" w:rsidP="00C23CDB">
      <w:pPr>
        <w:pStyle w:val="ListParagraph"/>
        <w:numPr>
          <w:ilvl w:val="0"/>
          <w:numId w:val="50"/>
        </w:numPr>
        <w:rPr>
          <w:rFonts w:ascii="Times New Roman" w:hAnsi="Times New Roman" w:cs="Times New Roman"/>
          <w:b/>
        </w:rPr>
      </w:pPr>
      <w:r w:rsidRPr="00794C1E">
        <w:rPr>
          <w:rFonts w:ascii="Times New Roman" w:hAnsi="Times New Roman" w:cs="Times New Roman"/>
          <w:b/>
        </w:rPr>
        <w:t>Field notes</w:t>
      </w:r>
      <w:r w:rsidRPr="00794C1E">
        <w:rPr>
          <w:rFonts w:ascii="Times New Roman" w:hAnsi="Times New Roman" w:cs="Times New Roman"/>
        </w:rPr>
        <w:t xml:space="preserve"> the notes created by the researcher to remember and record the behaviors, activities, events, and other features of an observation</w:t>
      </w:r>
    </w:p>
    <w:p w14:paraId="3ECB0540" w14:textId="77777777" w:rsidR="00D91945" w:rsidRPr="00794C1E" w:rsidRDefault="00D91945" w:rsidP="00C23CDB">
      <w:pPr>
        <w:pStyle w:val="ListParagraph"/>
        <w:numPr>
          <w:ilvl w:val="0"/>
          <w:numId w:val="50"/>
        </w:numPr>
        <w:rPr>
          <w:rFonts w:ascii="Times New Roman" w:hAnsi="Times New Roman" w:cs="Times New Roman"/>
          <w:b/>
        </w:rPr>
      </w:pPr>
      <w:r w:rsidRPr="00794C1E">
        <w:rPr>
          <w:rFonts w:ascii="Times New Roman" w:hAnsi="Times New Roman" w:cs="Times New Roman"/>
          <w:b/>
        </w:rPr>
        <w:t>Field sites</w:t>
      </w:r>
      <w:r w:rsidRPr="00794C1E">
        <w:rPr>
          <w:rFonts w:ascii="Times New Roman" w:hAnsi="Times New Roman" w:cs="Times New Roman"/>
        </w:rPr>
        <w:t xml:space="preserve"> --the location or environment an ethnographer is studying</w:t>
      </w:r>
    </w:p>
    <w:p w14:paraId="0D953A00"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lastRenderedPageBreak/>
        <w:t>Formal Interviews</w:t>
      </w:r>
      <w:r w:rsidRPr="00794C1E">
        <w:rPr>
          <w:rFonts w:ascii="Times New Roman" w:hAnsi="Times New Roman" w:cs="Times New Roman"/>
        </w:rPr>
        <w:t xml:space="preserve"> –Interviews where an interviewee is asked a list of prepared, generally open-ended questions to gather details and anecdotes that provide depth to respective projects.</w:t>
      </w:r>
    </w:p>
    <w:p w14:paraId="30DECBFF"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Hawthorne effect</w:t>
      </w:r>
      <w:r w:rsidRPr="00794C1E">
        <w:rPr>
          <w:rFonts w:ascii="Times New Roman" w:hAnsi="Times New Roman" w:cs="Times New Roman"/>
        </w:rPr>
        <w:t>—When people often change their behavior when they know they are being watched as part of a study</w:t>
      </w:r>
    </w:p>
    <w:p w14:paraId="6E44BFBD"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Ideal Culture</w:t>
      </w:r>
      <w:r w:rsidRPr="00794C1E">
        <w:rPr>
          <w:rFonts w:ascii="Times New Roman" w:hAnsi="Times New Roman" w:cs="Times New Roman"/>
        </w:rPr>
        <w:t xml:space="preserve"> – The way a group hopes others perceive their community or society. </w:t>
      </w:r>
    </w:p>
    <w:p w14:paraId="5E7CA826" w14:textId="77777777" w:rsidR="00D91945" w:rsidRPr="00794C1E" w:rsidRDefault="00D91945" w:rsidP="00C23CDB">
      <w:pPr>
        <w:pStyle w:val="ListParagraph"/>
        <w:numPr>
          <w:ilvl w:val="0"/>
          <w:numId w:val="50"/>
        </w:numPr>
        <w:rPr>
          <w:rFonts w:ascii="Times New Roman" w:eastAsia="Times New Roman" w:hAnsi="Times New Roman" w:cs="Times New Roman"/>
        </w:rPr>
      </w:pPr>
      <w:r w:rsidRPr="00794C1E">
        <w:rPr>
          <w:rFonts w:ascii="Times New Roman" w:eastAsia="Times New Roman" w:hAnsi="Times New Roman" w:cs="Times New Roman"/>
          <w:b/>
        </w:rPr>
        <w:t>Immersion</w:t>
      </w:r>
      <w:r w:rsidRPr="00794C1E">
        <w:rPr>
          <w:rFonts w:ascii="Times New Roman" w:eastAsia="Times New Roman" w:hAnsi="Times New Roman" w:cs="Times New Roman"/>
        </w:rPr>
        <w:t xml:space="preserve">- the research method in which ethnographers </w:t>
      </w:r>
      <w:proofErr w:type="gramStart"/>
      <w:r w:rsidRPr="00794C1E">
        <w:rPr>
          <w:rFonts w:ascii="Times New Roman" w:eastAsia="Times New Roman" w:hAnsi="Times New Roman" w:cs="Times New Roman"/>
        </w:rPr>
        <w:t>completely surrounds</w:t>
      </w:r>
      <w:proofErr w:type="gramEnd"/>
      <w:r w:rsidRPr="00794C1E">
        <w:rPr>
          <w:rFonts w:ascii="Times New Roman" w:eastAsia="Times New Roman" w:hAnsi="Times New Roman" w:cs="Times New Roman"/>
        </w:rPr>
        <w:t xml:space="preserve"> themselves in a culture they are studying to gain in depth knowledge about it </w:t>
      </w:r>
    </w:p>
    <w:p w14:paraId="6F4BA89F"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Informal Interviews</w:t>
      </w:r>
      <w:r w:rsidRPr="00794C1E">
        <w:rPr>
          <w:rFonts w:ascii="Times New Roman" w:hAnsi="Times New Roman" w:cs="Times New Roman"/>
        </w:rPr>
        <w:t xml:space="preserve"> – Casual exchanges with informants to gather background information for your project and often in preparation for a formal interview.</w:t>
      </w:r>
    </w:p>
    <w:p w14:paraId="4490CE67"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Informed Consent Forms</w:t>
      </w:r>
      <w:r w:rsidRPr="00794C1E">
        <w:rPr>
          <w:rFonts w:ascii="Times New Roman" w:hAnsi="Times New Roman" w:cs="Times New Roman"/>
        </w:rPr>
        <w:t xml:space="preserve"> – Forms designed to give the interviewee an opportunity to declare in what context they are comfortable with their oral history being used.</w:t>
      </w:r>
    </w:p>
    <w:p w14:paraId="024B1BF7" w14:textId="77777777" w:rsidR="00D91945" w:rsidRPr="00794C1E" w:rsidRDefault="00D91945" w:rsidP="00C23CDB">
      <w:pPr>
        <w:pStyle w:val="ListParagraph"/>
        <w:numPr>
          <w:ilvl w:val="0"/>
          <w:numId w:val="24"/>
        </w:numPr>
        <w:rPr>
          <w:rFonts w:ascii="Times New Roman" w:hAnsi="Times New Roman" w:cs="Times New Roman"/>
        </w:rPr>
      </w:pPr>
      <w:r w:rsidRPr="00794C1E">
        <w:rPr>
          <w:rFonts w:ascii="Times New Roman" w:hAnsi="Times New Roman" w:cs="Times New Roman"/>
          <w:b/>
        </w:rPr>
        <w:t>Informed consent</w:t>
      </w:r>
      <w:r w:rsidRPr="00794C1E">
        <w:rPr>
          <w:rFonts w:ascii="Times New Roman" w:hAnsi="Times New Roman" w:cs="Times New Roman"/>
        </w:rPr>
        <w:t xml:space="preserve">—research participants must </w:t>
      </w:r>
      <w:proofErr w:type="gramStart"/>
      <w:r w:rsidRPr="00794C1E">
        <w:rPr>
          <w:rFonts w:ascii="Times New Roman" w:hAnsi="Times New Roman" w:cs="Times New Roman"/>
        </w:rPr>
        <w:t>have an understanding of</w:t>
      </w:r>
      <w:proofErr w:type="gramEnd"/>
      <w:r w:rsidRPr="00794C1E">
        <w:rPr>
          <w:rFonts w:ascii="Times New Roman" w:hAnsi="Times New Roman" w:cs="Times New Roman"/>
        </w:rPr>
        <w:t xml:space="preserve"> the research project before giving their consent</w:t>
      </w:r>
    </w:p>
    <w:p w14:paraId="167C7E57" w14:textId="77777777" w:rsidR="00D91945" w:rsidRPr="00794C1E" w:rsidRDefault="00D91945" w:rsidP="00C23CDB">
      <w:pPr>
        <w:pStyle w:val="ListParagraph"/>
        <w:numPr>
          <w:ilvl w:val="0"/>
          <w:numId w:val="24"/>
        </w:numPr>
        <w:rPr>
          <w:rFonts w:ascii="Times New Roman" w:hAnsi="Times New Roman" w:cs="Times New Roman"/>
        </w:rPr>
      </w:pPr>
      <w:r w:rsidRPr="00794C1E">
        <w:rPr>
          <w:rFonts w:ascii="Times New Roman" w:hAnsi="Times New Roman" w:cs="Times New Roman"/>
          <w:b/>
        </w:rPr>
        <w:t>Institutional Review Board</w:t>
      </w:r>
      <w:r w:rsidRPr="00794C1E">
        <w:rPr>
          <w:rFonts w:ascii="Times New Roman" w:hAnsi="Times New Roman" w:cs="Times New Roman"/>
        </w:rPr>
        <w:t>—the group of people who review research to ensure that it the benefits outweigh the risks to human subjects</w:t>
      </w:r>
    </w:p>
    <w:p w14:paraId="41079E82"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Interview Guide/Schedule/Fram</w:t>
      </w:r>
      <w:r w:rsidRPr="00794C1E">
        <w:rPr>
          <w:rFonts w:ascii="Times New Roman" w:hAnsi="Times New Roman" w:cs="Times New Roman"/>
        </w:rPr>
        <w:t>e – A list of questions prepared beforehand to organize an interview.</w:t>
      </w:r>
    </w:p>
    <w:p w14:paraId="5C58B5F8" w14:textId="77777777" w:rsidR="00D91945" w:rsidRPr="00794C1E" w:rsidRDefault="00D91945" w:rsidP="00C23CDB">
      <w:pPr>
        <w:pStyle w:val="ListParagraph"/>
        <w:numPr>
          <w:ilvl w:val="0"/>
          <w:numId w:val="50"/>
        </w:numPr>
        <w:rPr>
          <w:rFonts w:ascii="Times New Roman" w:hAnsi="Times New Roman" w:cs="Times New Roman"/>
          <w:b/>
        </w:rPr>
      </w:pPr>
      <w:r w:rsidRPr="00794C1E">
        <w:rPr>
          <w:rFonts w:ascii="Times New Roman" w:hAnsi="Times New Roman" w:cs="Times New Roman"/>
          <w:b/>
        </w:rPr>
        <w:t xml:space="preserve">Jottings </w:t>
      </w:r>
      <w:r w:rsidRPr="00794C1E">
        <w:rPr>
          <w:rFonts w:ascii="Times New Roman" w:hAnsi="Times New Roman" w:cs="Times New Roman"/>
        </w:rPr>
        <w:t>notes that are taken in the field that then get developed into fieldnotes</w:t>
      </w:r>
    </w:p>
    <w:p w14:paraId="5249D5A4" w14:textId="77777777" w:rsidR="00D91945" w:rsidRPr="00794C1E" w:rsidRDefault="00D91945" w:rsidP="00C23CDB">
      <w:pPr>
        <w:pStyle w:val="NoSpacing"/>
        <w:numPr>
          <w:ilvl w:val="0"/>
          <w:numId w:val="24"/>
        </w:numPr>
        <w:rPr>
          <w:rFonts w:cs="Times New Roman"/>
          <w:szCs w:val="24"/>
        </w:rPr>
      </w:pPr>
      <w:r w:rsidRPr="00794C1E">
        <w:rPr>
          <w:rFonts w:cs="Times New Roman"/>
          <w:b/>
          <w:szCs w:val="24"/>
        </w:rPr>
        <w:t>Key Participants</w:t>
      </w:r>
      <w:r w:rsidRPr="00794C1E">
        <w:rPr>
          <w:rFonts w:cs="Times New Roman"/>
          <w:szCs w:val="24"/>
        </w:rPr>
        <w:t xml:space="preserve"> - The object or persons under investigation.</w:t>
      </w:r>
    </w:p>
    <w:p w14:paraId="7595D9A7"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 xml:space="preserve">Mapping </w:t>
      </w:r>
      <w:r w:rsidRPr="00794C1E">
        <w:rPr>
          <w:rFonts w:ascii="Times New Roman" w:hAnsi="Times New Roman" w:cs="Times New Roman"/>
        </w:rPr>
        <w:t>- I</w:t>
      </w:r>
      <w:r w:rsidRPr="00794C1E">
        <w:rPr>
          <w:rStyle w:val="e24kjd"/>
          <w:rFonts w:ascii="Times New Roman" w:hAnsi="Times New Roman" w:cs="Times New Roman"/>
        </w:rPr>
        <w:t>n qualitative market research, mapping involves asking interviewees or group participants to sort or 'map' objects (or representations of objects) according to how they are seen or thought of.</w:t>
      </w:r>
    </w:p>
    <w:p w14:paraId="10CBDD26" w14:textId="77777777" w:rsidR="00D91945" w:rsidRPr="00794C1E" w:rsidRDefault="00D91945" w:rsidP="00C23CDB">
      <w:pPr>
        <w:pStyle w:val="ListParagraph"/>
        <w:numPr>
          <w:ilvl w:val="0"/>
          <w:numId w:val="24"/>
        </w:numPr>
        <w:rPr>
          <w:rFonts w:ascii="Times New Roman" w:hAnsi="Times New Roman" w:cs="Times New Roman"/>
        </w:rPr>
      </w:pPr>
      <w:r w:rsidRPr="00794C1E">
        <w:rPr>
          <w:rFonts w:ascii="Times New Roman" w:hAnsi="Times New Roman" w:cs="Times New Roman"/>
          <w:b/>
        </w:rPr>
        <w:t>Objective stance</w:t>
      </w:r>
      <w:r w:rsidRPr="00794C1E">
        <w:rPr>
          <w:rFonts w:ascii="Times New Roman" w:hAnsi="Times New Roman" w:cs="Times New Roman"/>
        </w:rPr>
        <w:t xml:space="preserve"> - Researchers must make sure to keep an open and objective mind and not bring any preconceived outcomes or notions to the study.</w:t>
      </w:r>
    </w:p>
    <w:p w14:paraId="77EFA97B"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Objectivity</w:t>
      </w:r>
      <w:r w:rsidRPr="00794C1E">
        <w:rPr>
          <w:rFonts w:ascii="Times New Roman" w:hAnsi="Times New Roman" w:cs="Times New Roman"/>
        </w:rPr>
        <w:t xml:space="preserve"> - </w:t>
      </w:r>
      <w:r w:rsidRPr="00794C1E">
        <w:rPr>
          <w:rStyle w:val="st"/>
          <w:rFonts w:ascii="Times New Roman" w:hAnsi="Times New Roman" w:cs="Times New Roman"/>
        </w:rPr>
        <w:t>the quality or character of being objective: lack of favoritism toward one side or another.</w:t>
      </w:r>
    </w:p>
    <w:p w14:paraId="4045DA1B"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Observer bias</w:t>
      </w:r>
      <w:r w:rsidRPr="00794C1E">
        <w:rPr>
          <w:rFonts w:ascii="Times New Roman" w:hAnsi="Times New Roman" w:cs="Times New Roman"/>
        </w:rPr>
        <w:t>—When researchers unconsciously skew their observations to fit their research goals or expectations</w:t>
      </w:r>
    </w:p>
    <w:p w14:paraId="52CD128D"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Open-Ended Questions</w:t>
      </w:r>
      <w:r w:rsidRPr="00794C1E">
        <w:rPr>
          <w:rFonts w:ascii="Times New Roman" w:hAnsi="Times New Roman" w:cs="Times New Roman"/>
        </w:rPr>
        <w:t xml:space="preserve"> – Questions that avoid yes/no responses by seeking stories or the “why and “how”.</w:t>
      </w:r>
    </w:p>
    <w:p w14:paraId="204D95C6"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bCs/>
        </w:rPr>
        <w:t>Participant Observation:</w:t>
      </w:r>
      <w:r w:rsidRPr="00794C1E">
        <w:rPr>
          <w:rFonts w:ascii="Times New Roman" w:hAnsi="Times New Roman" w:cs="Times New Roman"/>
        </w:rPr>
        <w:t xml:space="preserve"> When researchers join people and participate in a group’s routine activities for the purpose of observing them within that context</w:t>
      </w:r>
    </w:p>
    <w:p w14:paraId="5B778BA5" w14:textId="77777777" w:rsidR="00D91945" w:rsidRPr="00794C1E" w:rsidRDefault="00D91945" w:rsidP="00C23CDB">
      <w:pPr>
        <w:pStyle w:val="NoSpacing"/>
        <w:numPr>
          <w:ilvl w:val="0"/>
          <w:numId w:val="50"/>
        </w:numPr>
        <w:rPr>
          <w:rFonts w:cs="Times New Roman"/>
          <w:szCs w:val="24"/>
        </w:rPr>
      </w:pPr>
      <w:r w:rsidRPr="00794C1E">
        <w:rPr>
          <w:rFonts w:cs="Times New Roman"/>
          <w:b/>
          <w:szCs w:val="24"/>
        </w:rPr>
        <w:t>Participant-observer</w:t>
      </w:r>
      <w:r w:rsidRPr="00794C1E">
        <w:rPr>
          <w:rFonts w:cs="Times New Roman"/>
          <w:szCs w:val="24"/>
        </w:rPr>
        <w:t xml:space="preserve"> - A participant-observer is a researcher who utilizes ethnography </w:t>
      </w:r>
      <w:proofErr w:type="gramStart"/>
      <w:r w:rsidRPr="00794C1E">
        <w:rPr>
          <w:rFonts w:cs="Times New Roman"/>
          <w:szCs w:val="24"/>
        </w:rPr>
        <w:t>as a way to</w:t>
      </w:r>
      <w:proofErr w:type="gramEnd"/>
      <w:r w:rsidRPr="00794C1E">
        <w:rPr>
          <w:rFonts w:cs="Times New Roman"/>
          <w:szCs w:val="24"/>
        </w:rPr>
        <w:t xml:space="preserve"> document data. They become both an active participant and a passive observer.</w:t>
      </w:r>
    </w:p>
    <w:p w14:paraId="1435140F" w14:textId="77777777" w:rsidR="00D91945" w:rsidRPr="00794C1E" w:rsidRDefault="00D91945" w:rsidP="00C23CDB">
      <w:pPr>
        <w:pStyle w:val="NoSpacing"/>
        <w:numPr>
          <w:ilvl w:val="0"/>
          <w:numId w:val="24"/>
        </w:numPr>
        <w:rPr>
          <w:rFonts w:cs="Times New Roman"/>
          <w:szCs w:val="24"/>
        </w:rPr>
      </w:pPr>
      <w:r w:rsidRPr="00794C1E">
        <w:rPr>
          <w:rFonts w:cs="Times New Roman"/>
          <w:b/>
          <w:szCs w:val="24"/>
        </w:rPr>
        <w:t>Participant-observer</w:t>
      </w:r>
      <w:r w:rsidRPr="00794C1E">
        <w:rPr>
          <w:rFonts w:cs="Times New Roman"/>
          <w:szCs w:val="24"/>
        </w:rPr>
        <w:t xml:space="preserve"> - A participant-observer is a researcher who utilizes ethnography </w:t>
      </w:r>
      <w:proofErr w:type="gramStart"/>
      <w:r w:rsidRPr="00794C1E">
        <w:rPr>
          <w:rFonts w:cs="Times New Roman"/>
          <w:szCs w:val="24"/>
        </w:rPr>
        <w:t>as a way to</w:t>
      </w:r>
      <w:proofErr w:type="gramEnd"/>
      <w:r w:rsidRPr="00794C1E">
        <w:rPr>
          <w:rFonts w:cs="Times New Roman"/>
          <w:szCs w:val="24"/>
        </w:rPr>
        <w:t xml:space="preserve"> document data. They become both an active participant and a passive observer.</w:t>
      </w:r>
    </w:p>
    <w:p w14:paraId="534F3221"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Qualitative Interviews</w:t>
      </w:r>
      <w:r w:rsidRPr="00794C1E">
        <w:rPr>
          <w:rFonts w:ascii="Times New Roman" w:hAnsi="Times New Roman" w:cs="Times New Roman"/>
        </w:rPr>
        <w:t xml:space="preserve"> – Organized by open-ended questions that seek in-depth explanations of traditions, experiences and perceptions. They provide space for follow-up questions and illuminate the “why” and “how” of a participant’s experience.</w:t>
      </w:r>
    </w:p>
    <w:p w14:paraId="2042FC0C"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Real Culture</w:t>
      </w:r>
      <w:r w:rsidRPr="00794C1E">
        <w:rPr>
          <w:rFonts w:ascii="Times New Roman" w:hAnsi="Times New Roman" w:cs="Times New Roman"/>
        </w:rPr>
        <w:t xml:space="preserve"> – The way a group, community or society </w:t>
      </w:r>
      <w:proofErr w:type="gramStart"/>
      <w:r w:rsidRPr="00794C1E">
        <w:rPr>
          <w:rFonts w:ascii="Times New Roman" w:hAnsi="Times New Roman" w:cs="Times New Roman"/>
        </w:rPr>
        <w:t>actually functions</w:t>
      </w:r>
      <w:proofErr w:type="gramEnd"/>
      <w:r w:rsidRPr="00794C1E">
        <w:rPr>
          <w:rFonts w:ascii="Times New Roman" w:hAnsi="Times New Roman" w:cs="Times New Roman"/>
        </w:rPr>
        <w:t>.</w:t>
      </w:r>
    </w:p>
    <w:p w14:paraId="44CC2CF4"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lastRenderedPageBreak/>
        <w:t>Research strategy</w:t>
      </w:r>
      <w:r w:rsidRPr="00794C1E">
        <w:rPr>
          <w:rFonts w:ascii="Times New Roman" w:hAnsi="Times New Roman" w:cs="Times New Roman"/>
        </w:rPr>
        <w:t xml:space="preserve"> - </w:t>
      </w:r>
      <w:r w:rsidRPr="00794C1E">
        <w:rPr>
          <w:rStyle w:val="e24kjd"/>
          <w:rFonts w:ascii="Times New Roman" w:hAnsi="Times New Roman" w:cs="Times New Roman"/>
        </w:rPr>
        <w:t xml:space="preserve">A step-by-step plan of action that gives direction to a researcher's thoughts and efforts and enables them to conduct research systematically and on schedule to produce quality results and detailed reporting. </w:t>
      </w:r>
    </w:p>
    <w:p w14:paraId="67E56940" w14:textId="77777777" w:rsidR="00D91945" w:rsidRPr="00794C1E" w:rsidRDefault="00D91945" w:rsidP="00C23CDB">
      <w:pPr>
        <w:pStyle w:val="ListParagraph"/>
        <w:numPr>
          <w:ilvl w:val="0"/>
          <w:numId w:val="50"/>
        </w:numPr>
        <w:rPr>
          <w:rStyle w:val="st"/>
          <w:rFonts w:ascii="Times New Roman" w:hAnsi="Times New Roman" w:cs="Times New Roman"/>
        </w:rPr>
      </w:pPr>
      <w:r w:rsidRPr="00794C1E">
        <w:rPr>
          <w:rFonts w:ascii="Times New Roman" w:hAnsi="Times New Roman" w:cs="Times New Roman"/>
          <w:b/>
        </w:rPr>
        <w:t>Research subjects</w:t>
      </w:r>
      <w:r w:rsidRPr="00794C1E">
        <w:rPr>
          <w:rFonts w:ascii="Times New Roman" w:hAnsi="Times New Roman" w:cs="Times New Roman"/>
        </w:rPr>
        <w:t xml:space="preserve"> - </w:t>
      </w:r>
      <w:r w:rsidRPr="00794C1E">
        <w:rPr>
          <w:rStyle w:val="st"/>
          <w:rFonts w:ascii="Times New Roman" w:hAnsi="Times New Roman" w:cs="Times New Roman"/>
        </w:rPr>
        <w:t xml:space="preserve">A </w:t>
      </w:r>
      <w:r w:rsidRPr="00794C1E">
        <w:rPr>
          <w:rStyle w:val="Emphasis"/>
          <w:rFonts w:ascii="Times New Roman" w:hAnsi="Times New Roman" w:cs="Times New Roman"/>
        </w:rPr>
        <w:t>research subject</w:t>
      </w:r>
      <w:r w:rsidRPr="00794C1E">
        <w:rPr>
          <w:rStyle w:val="st"/>
          <w:rFonts w:ascii="Times New Roman" w:hAnsi="Times New Roman" w:cs="Times New Roman"/>
          <w:i/>
        </w:rPr>
        <w:t xml:space="preserve"> </w:t>
      </w:r>
      <w:r w:rsidRPr="00794C1E">
        <w:rPr>
          <w:rStyle w:val="st"/>
          <w:rFonts w:ascii="Times New Roman" w:hAnsi="Times New Roman" w:cs="Times New Roman"/>
        </w:rPr>
        <w:t xml:space="preserve">is a person who decides to participate in a </w:t>
      </w:r>
      <w:r w:rsidRPr="00794C1E">
        <w:rPr>
          <w:rStyle w:val="Emphasis"/>
          <w:rFonts w:ascii="Times New Roman" w:hAnsi="Times New Roman" w:cs="Times New Roman"/>
        </w:rPr>
        <w:t>research study</w:t>
      </w:r>
      <w:r w:rsidRPr="00794C1E">
        <w:rPr>
          <w:rStyle w:val="st"/>
          <w:rFonts w:ascii="Times New Roman" w:hAnsi="Times New Roman" w:cs="Times New Roman"/>
          <w:i/>
        </w:rPr>
        <w:t>.</w:t>
      </w:r>
    </w:p>
    <w:p w14:paraId="6703A991"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Semi-Structured Interviews</w:t>
      </w:r>
      <w:r w:rsidRPr="00794C1E">
        <w:rPr>
          <w:rFonts w:ascii="Times New Roman" w:hAnsi="Times New Roman" w:cs="Times New Roman"/>
        </w:rPr>
        <w:t xml:space="preserve"> – An interview that flexibly follows a list of open-ended questions, while providing space for follow-up questions that illuminate the “why” and “how” of a </w:t>
      </w:r>
      <w:proofErr w:type="gramStart"/>
      <w:r w:rsidRPr="00794C1E">
        <w:rPr>
          <w:rFonts w:ascii="Times New Roman" w:hAnsi="Times New Roman" w:cs="Times New Roman"/>
        </w:rPr>
        <w:t>particular participant’s</w:t>
      </w:r>
      <w:proofErr w:type="gramEnd"/>
      <w:r w:rsidRPr="00794C1E">
        <w:rPr>
          <w:rFonts w:ascii="Times New Roman" w:hAnsi="Times New Roman" w:cs="Times New Roman"/>
        </w:rPr>
        <w:t xml:space="preserve"> unique experience.</w:t>
      </w:r>
    </w:p>
    <w:p w14:paraId="128D2068" w14:textId="77777777" w:rsidR="00D91945" w:rsidRPr="00794C1E" w:rsidRDefault="00D91945" w:rsidP="00C23CDB">
      <w:pPr>
        <w:pStyle w:val="NoSpacing"/>
        <w:numPr>
          <w:ilvl w:val="0"/>
          <w:numId w:val="24"/>
        </w:numPr>
        <w:rPr>
          <w:rFonts w:cs="Times New Roman"/>
          <w:szCs w:val="24"/>
        </w:rPr>
      </w:pPr>
      <w:r w:rsidRPr="00794C1E">
        <w:rPr>
          <w:rFonts w:cs="Times New Roman"/>
          <w:b/>
          <w:szCs w:val="24"/>
        </w:rPr>
        <w:t>Social or cultural awareness</w:t>
      </w:r>
      <w:r w:rsidRPr="00794C1E">
        <w:rPr>
          <w:rFonts w:cs="Times New Roman"/>
          <w:szCs w:val="24"/>
        </w:rPr>
        <w:t xml:space="preserve"> - Researching a culture prior to beginning the study, if possible.</w:t>
      </w:r>
    </w:p>
    <w:p w14:paraId="4B20EB81" w14:textId="77777777" w:rsidR="00D91945" w:rsidRPr="00794C1E" w:rsidRDefault="00D91945" w:rsidP="00C23CDB">
      <w:pPr>
        <w:pStyle w:val="NoSpacing"/>
        <w:numPr>
          <w:ilvl w:val="0"/>
          <w:numId w:val="24"/>
        </w:numPr>
        <w:rPr>
          <w:rFonts w:cs="Times New Roman"/>
          <w:szCs w:val="24"/>
        </w:rPr>
      </w:pPr>
      <w:r w:rsidRPr="00794C1E">
        <w:rPr>
          <w:rFonts w:cs="Times New Roman"/>
          <w:b/>
          <w:szCs w:val="24"/>
        </w:rPr>
        <w:t>Time commitment</w:t>
      </w:r>
      <w:r w:rsidRPr="00794C1E">
        <w:rPr>
          <w:rFonts w:cs="Times New Roman"/>
          <w:szCs w:val="24"/>
        </w:rPr>
        <w:t xml:space="preserve"> - Ethnography requires the research study to happen over a longer </w:t>
      </w:r>
      <w:proofErr w:type="gramStart"/>
      <w:r w:rsidRPr="00794C1E">
        <w:rPr>
          <w:rFonts w:cs="Times New Roman"/>
          <w:szCs w:val="24"/>
        </w:rPr>
        <w:t>period of time</w:t>
      </w:r>
      <w:proofErr w:type="gramEnd"/>
      <w:r w:rsidRPr="00794C1E">
        <w:rPr>
          <w:rFonts w:cs="Times New Roman"/>
          <w:szCs w:val="24"/>
        </w:rPr>
        <w:t>. Hence, making ethnography a less desirable method when conducting single incident research topics.</w:t>
      </w:r>
    </w:p>
    <w:p w14:paraId="48F796C5"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Transcribing</w:t>
      </w:r>
      <w:r w:rsidRPr="00794C1E">
        <w:rPr>
          <w:rFonts w:ascii="Times New Roman" w:hAnsi="Times New Roman" w:cs="Times New Roman"/>
        </w:rPr>
        <w:t xml:space="preserve"> – A typed-up version of the interview that either you, or someone else creates by listening to the recording.</w:t>
      </w:r>
    </w:p>
    <w:p w14:paraId="5D5FD46A" w14:textId="77777777" w:rsidR="00D91945" w:rsidRPr="00794C1E" w:rsidRDefault="00D91945" w:rsidP="00C23CDB">
      <w:pPr>
        <w:pStyle w:val="ListParagraph"/>
        <w:numPr>
          <w:ilvl w:val="0"/>
          <w:numId w:val="50"/>
        </w:numPr>
        <w:rPr>
          <w:rFonts w:ascii="Times New Roman" w:hAnsi="Times New Roman" w:cs="Times New Roman"/>
          <w:b/>
        </w:rPr>
      </w:pPr>
      <w:r w:rsidRPr="00794C1E">
        <w:rPr>
          <w:rFonts w:ascii="Times New Roman" w:hAnsi="Times New Roman" w:cs="Times New Roman"/>
          <w:b/>
        </w:rPr>
        <w:t xml:space="preserve">Triangulation </w:t>
      </w:r>
      <w:r w:rsidRPr="00794C1E">
        <w:rPr>
          <w:rFonts w:ascii="Times New Roman" w:hAnsi="Times New Roman" w:cs="Times New Roman"/>
        </w:rPr>
        <w:t>using a variety of methods to gather data in one field site to study to same thing.</w:t>
      </w:r>
    </w:p>
    <w:p w14:paraId="4064BFF9" w14:textId="77777777" w:rsidR="00D91945" w:rsidRPr="00794C1E" w:rsidRDefault="00D91945" w:rsidP="00C23CDB">
      <w:pPr>
        <w:pStyle w:val="ListParagraph"/>
        <w:numPr>
          <w:ilvl w:val="0"/>
          <w:numId w:val="50"/>
        </w:numPr>
        <w:rPr>
          <w:rFonts w:ascii="Times New Roman" w:hAnsi="Times New Roman" w:cs="Times New Roman"/>
        </w:rPr>
      </w:pPr>
      <w:r w:rsidRPr="00794C1E">
        <w:rPr>
          <w:rFonts w:ascii="Times New Roman" w:hAnsi="Times New Roman" w:cs="Times New Roman"/>
          <w:b/>
        </w:rPr>
        <w:t>Unstructured Interviews</w:t>
      </w:r>
      <w:r w:rsidRPr="00794C1E">
        <w:rPr>
          <w:rFonts w:ascii="Times New Roman" w:hAnsi="Times New Roman" w:cs="Times New Roman"/>
        </w:rPr>
        <w:t xml:space="preserve"> – Interviews that allow the discussion to freely venture from subject to subject, often without a written list of questions to guide the conversation</w:t>
      </w:r>
    </w:p>
    <w:p w14:paraId="742588A6" w14:textId="77777777" w:rsidR="00D91945" w:rsidRPr="00794C1E" w:rsidRDefault="00D91945" w:rsidP="00C23CDB">
      <w:pPr>
        <w:pStyle w:val="ListParagraph"/>
        <w:numPr>
          <w:ilvl w:val="0"/>
          <w:numId w:val="50"/>
        </w:numPr>
        <w:rPr>
          <w:rFonts w:ascii="Times New Roman" w:hAnsi="Times New Roman" w:cs="Times New Roman"/>
          <w:b/>
          <w:bCs/>
        </w:rPr>
      </w:pPr>
      <w:r w:rsidRPr="00794C1E">
        <w:rPr>
          <w:rFonts w:ascii="Times New Roman" w:hAnsi="Times New Roman" w:cs="Times New Roman"/>
          <w:b/>
        </w:rPr>
        <w:t>Validity</w:t>
      </w:r>
      <w:r w:rsidRPr="00794C1E">
        <w:rPr>
          <w:rFonts w:ascii="Times New Roman" w:hAnsi="Times New Roman" w:cs="Times New Roman"/>
        </w:rPr>
        <w:t>—The data the researcher is collecting is a true representation of the information he or she is measuring</w:t>
      </w:r>
    </w:p>
    <w:p w14:paraId="5EF8364C" w14:textId="77777777" w:rsidR="00D91945" w:rsidRPr="00794C1E" w:rsidRDefault="00D91945" w:rsidP="00C23CDB">
      <w:pPr>
        <w:pStyle w:val="ListParagraph"/>
        <w:numPr>
          <w:ilvl w:val="0"/>
          <w:numId w:val="24"/>
        </w:numPr>
        <w:rPr>
          <w:rFonts w:ascii="Times New Roman" w:hAnsi="Times New Roman" w:cs="Times New Roman"/>
        </w:rPr>
      </w:pPr>
      <w:r w:rsidRPr="00794C1E">
        <w:rPr>
          <w:rFonts w:ascii="Times New Roman" w:hAnsi="Times New Roman" w:cs="Times New Roman"/>
          <w:b/>
        </w:rPr>
        <w:t>Value neutrality</w:t>
      </w:r>
      <w:r w:rsidRPr="00794C1E">
        <w:rPr>
          <w:rFonts w:ascii="Times New Roman" w:hAnsi="Times New Roman" w:cs="Times New Roman"/>
        </w:rPr>
        <w:t xml:space="preserve">—not allowing your biases to </w:t>
      </w:r>
      <w:proofErr w:type="gramStart"/>
      <w:r w:rsidRPr="00794C1E">
        <w:rPr>
          <w:rFonts w:ascii="Times New Roman" w:hAnsi="Times New Roman" w:cs="Times New Roman"/>
        </w:rPr>
        <w:t>have an effect on</w:t>
      </w:r>
      <w:proofErr w:type="gramEnd"/>
      <w:r w:rsidRPr="00794C1E">
        <w:rPr>
          <w:rFonts w:ascii="Times New Roman" w:hAnsi="Times New Roman" w:cs="Times New Roman"/>
        </w:rPr>
        <w:t xml:space="preserve"> the outcomes of your research</w:t>
      </w:r>
    </w:p>
    <w:p w14:paraId="7347F452" w14:textId="77777777" w:rsidR="00D91945" w:rsidRPr="00794C1E" w:rsidRDefault="00D91945" w:rsidP="00C23CDB">
      <w:pPr>
        <w:pStyle w:val="ListParagraph"/>
        <w:numPr>
          <w:ilvl w:val="0"/>
          <w:numId w:val="50"/>
        </w:numPr>
        <w:rPr>
          <w:rFonts w:ascii="Times New Roman" w:eastAsia="Times New Roman" w:hAnsi="Times New Roman" w:cs="Times New Roman"/>
        </w:rPr>
      </w:pPr>
      <w:r w:rsidRPr="00794C1E">
        <w:rPr>
          <w:rFonts w:ascii="Times New Roman" w:eastAsia="Times New Roman" w:hAnsi="Times New Roman" w:cs="Times New Roman"/>
          <w:b/>
        </w:rPr>
        <w:t>Value-centered</w:t>
      </w:r>
      <w:r w:rsidRPr="00794C1E">
        <w:rPr>
          <w:rFonts w:ascii="Times New Roman" w:eastAsia="Times New Roman" w:hAnsi="Times New Roman" w:cs="Times New Roman"/>
        </w:rPr>
        <w:t>—allowing personal values to dictate which direction is taken</w:t>
      </w:r>
    </w:p>
    <w:p w14:paraId="2A74F184" w14:textId="77777777" w:rsidR="00D91945" w:rsidRPr="00794C1E" w:rsidRDefault="00D91945" w:rsidP="00C23CDB">
      <w:pPr>
        <w:pStyle w:val="ListParagraph"/>
        <w:numPr>
          <w:ilvl w:val="0"/>
          <w:numId w:val="50"/>
        </w:numPr>
        <w:rPr>
          <w:rFonts w:ascii="Times New Roman" w:eastAsia="Times New Roman" w:hAnsi="Times New Roman" w:cs="Times New Roman"/>
        </w:rPr>
      </w:pPr>
      <w:r w:rsidRPr="00794C1E">
        <w:rPr>
          <w:rFonts w:ascii="Times New Roman" w:eastAsia="Times New Roman" w:hAnsi="Times New Roman" w:cs="Times New Roman"/>
          <w:b/>
        </w:rPr>
        <w:t>Western/Non-Western</w:t>
      </w:r>
      <w:r w:rsidRPr="00794C1E">
        <w:rPr>
          <w:rFonts w:ascii="Times New Roman" w:eastAsia="Times New Roman" w:hAnsi="Times New Roman" w:cs="Times New Roman"/>
        </w:rPr>
        <w:t>- refers to cultures with belief systems and societal structures that originate from or are influenced by Europe (including, broadly, the United States)/refers to cultures with belief systems and societal structures that did not originate through European influence  (NOTE: these are general terms and no society is completely Western or non-Western in a globalized world)</w:t>
      </w:r>
    </w:p>
    <w:p w14:paraId="6DB816BB" w14:textId="72EB89D2" w:rsidR="00D91945" w:rsidRDefault="00D91945">
      <w:r>
        <w:br w:type="page"/>
      </w:r>
    </w:p>
    <w:p w14:paraId="7D8104CA" w14:textId="77777777" w:rsidR="00D91945" w:rsidRPr="00CE0968" w:rsidRDefault="00D91945" w:rsidP="00D91945">
      <w:pPr>
        <w:ind w:hanging="720"/>
        <w:rPr>
          <w:rFonts w:ascii="Times New Roman" w:hAnsi="Times New Roman" w:cs="Times New Roman"/>
        </w:rPr>
      </w:pPr>
    </w:p>
    <w:p w14:paraId="59A1C2CD" w14:textId="49F40636" w:rsidR="00D91945" w:rsidRDefault="00156822" w:rsidP="00156822">
      <w:pPr>
        <w:ind w:hanging="720"/>
        <w:jc w:val="center"/>
        <w:rPr>
          <w:rFonts w:ascii="Times New Roman" w:hAnsi="Times New Roman" w:cs="Times New Roman"/>
        </w:rPr>
      </w:pPr>
      <w:r>
        <w:rPr>
          <w:rFonts w:ascii="Times New Roman" w:hAnsi="Times New Roman" w:cs="Times New Roman"/>
        </w:rPr>
        <w:t>References</w:t>
      </w:r>
    </w:p>
    <w:p w14:paraId="2DBB1169" w14:textId="77777777" w:rsidR="00D91945" w:rsidRDefault="00D91945" w:rsidP="00D91945">
      <w:pPr>
        <w:ind w:hanging="720"/>
        <w:rPr>
          <w:rFonts w:ascii="Times New Roman" w:hAnsi="Times New Roman" w:cs="Times New Roman"/>
        </w:rPr>
      </w:pPr>
    </w:p>
    <w:p w14:paraId="7C97A1F0"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A. Daly (Eds.), </w:t>
      </w:r>
      <w:r w:rsidRPr="00CE0968">
        <w:rPr>
          <w:rFonts w:ascii="Times New Roman" w:hAnsi="Times New Roman" w:cs="Times New Roman"/>
          <w:i/>
          <w:iCs/>
        </w:rPr>
        <w:t>Handbook of interpersonal communication</w:t>
      </w:r>
      <w:r w:rsidRPr="00CE0968">
        <w:rPr>
          <w:rFonts w:ascii="Times New Roman" w:hAnsi="Times New Roman" w:cs="Times New Roman"/>
        </w:rPr>
        <w:t> (3rd ed., pp.73-101). Thousand Oaks, CA: Sage.</w:t>
      </w:r>
    </w:p>
    <w:p w14:paraId="602C6840"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Adams, Tony E. &amp; Holman Jones, Stacy (2008). Autoethnography is queer. In </w:t>
      </w:r>
      <w:hyperlink r:id="rId82" w:tgtFrame="_self" w:history="1">
        <w:r w:rsidRPr="00CE0968">
          <w:rPr>
            <w:rStyle w:val="Hyperlink"/>
            <w:rFonts w:ascii="Times New Roman" w:hAnsi="Times New Roman" w:cs="Times New Roman"/>
          </w:rPr>
          <w:t>Norman K. Denzin</w:t>
        </w:r>
      </w:hyperlink>
      <w:r w:rsidRPr="00CE0968">
        <w:rPr>
          <w:rFonts w:ascii="Times New Roman" w:hAnsi="Times New Roman" w:cs="Times New Roman"/>
        </w:rPr>
        <w:t xml:space="preserve">, </w:t>
      </w:r>
      <w:proofErr w:type="spellStart"/>
      <w:r w:rsidRPr="00CE0968">
        <w:rPr>
          <w:rFonts w:ascii="Times New Roman" w:hAnsi="Times New Roman" w:cs="Times New Roman"/>
        </w:rPr>
        <w:t>Yvonna</w:t>
      </w:r>
      <w:proofErr w:type="spellEnd"/>
      <w:r w:rsidRPr="00CE0968">
        <w:rPr>
          <w:rFonts w:ascii="Times New Roman" w:hAnsi="Times New Roman" w:cs="Times New Roman"/>
        </w:rPr>
        <w:t xml:space="preserve"> S. Lincoln &amp; Linda T. Smith (Eds.), </w:t>
      </w:r>
      <w:r w:rsidRPr="00CE0968">
        <w:rPr>
          <w:rFonts w:ascii="Times New Roman" w:hAnsi="Times New Roman" w:cs="Times New Roman"/>
          <w:i/>
          <w:iCs/>
        </w:rPr>
        <w:t>Handbook of critical and indigenous methodologies </w:t>
      </w:r>
      <w:r w:rsidRPr="00CE0968">
        <w:rPr>
          <w:rFonts w:ascii="Times New Roman" w:hAnsi="Times New Roman" w:cs="Times New Roman"/>
        </w:rPr>
        <w:t>(pp.373-390). Thousand Oaks, CA: Sage.</w:t>
      </w:r>
    </w:p>
    <w:p w14:paraId="22A84707"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Adams, Tony E. (2005). Speaking for others: Finding the "</w:t>
      </w:r>
      <w:proofErr w:type="spellStart"/>
      <w:r w:rsidRPr="00CE0968">
        <w:rPr>
          <w:rFonts w:ascii="Times New Roman" w:hAnsi="Times New Roman" w:cs="Times New Roman"/>
        </w:rPr>
        <w:t>whos</w:t>
      </w:r>
      <w:proofErr w:type="spellEnd"/>
      <w:r w:rsidRPr="00CE0968">
        <w:rPr>
          <w:rFonts w:ascii="Times New Roman" w:hAnsi="Times New Roman" w:cs="Times New Roman"/>
        </w:rPr>
        <w:t>" of discourse. </w:t>
      </w:r>
      <w:r w:rsidRPr="00CE0968">
        <w:rPr>
          <w:rFonts w:ascii="Times New Roman" w:hAnsi="Times New Roman" w:cs="Times New Roman"/>
          <w:i/>
          <w:iCs/>
        </w:rPr>
        <w:t>Soundings</w:t>
      </w:r>
      <w:r w:rsidRPr="00CE0968">
        <w:rPr>
          <w:rFonts w:ascii="Times New Roman" w:hAnsi="Times New Roman" w:cs="Times New Roman"/>
        </w:rPr>
        <w:t>,</w:t>
      </w:r>
      <w:r w:rsidRPr="00CE0968">
        <w:rPr>
          <w:rFonts w:ascii="Times New Roman" w:hAnsi="Times New Roman" w:cs="Times New Roman"/>
          <w:i/>
          <w:iCs/>
        </w:rPr>
        <w:t> 88</w:t>
      </w:r>
      <w:r w:rsidRPr="00CE0968">
        <w:rPr>
          <w:rFonts w:ascii="Times New Roman" w:hAnsi="Times New Roman" w:cs="Times New Roman"/>
        </w:rPr>
        <w:t>(3-4), 331-345.</w:t>
      </w:r>
    </w:p>
    <w:p w14:paraId="2CB9A0F9"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Adams, Tony E. (2006). Seeking father: Relationally reframing a troubled love story.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 12</w:t>
      </w:r>
      <w:r w:rsidRPr="00CE0968">
        <w:rPr>
          <w:rFonts w:ascii="Times New Roman" w:hAnsi="Times New Roman" w:cs="Times New Roman"/>
        </w:rPr>
        <w:t>(4), 704-723.</w:t>
      </w:r>
    </w:p>
    <w:p w14:paraId="68614A98"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Adams, Tony E. (2008). A review of narrative ethics.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 14</w:t>
      </w:r>
      <w:r w:rsidRPr="00CE0968">
        <w:rPr>
          <w:rFonts w:ascii="Times New Roman" w:hAnsi="Times New Roman" w:cs="Times New Roman"/>
        </w:rPr>
        <w:t>(2), 175-194.</w:t>
      </w:r>
    </w:p>
    <w:p w14:paraId="777796C3" w14:textId="77777777" w:rsidR="00D91945" w:rsidRDefault="00D91945" w:rsidP="00D91945">
      <w:pPr>
        <w:ind w:hanging="720"/>
        <w:rPr>
          <w:rFonts w:ascii="Times New Roman" w:hAnsi="Times New Roman" w:cs="Times New Roman"/>
        </w:rPr>
      </w:pPr>
      <w:proofErr w:type="spellStart"/>
      <w:r w:rsidRPr="00CE0968">
        <w:rPr>
          <w:rFonts w:ascii="Times New Roman" w:hAnsi="Times New Roman" w:cs="Times New Roman"/>
        </w:rPr>
        <w:t>Alasuutari</w:t>
      </w:r>
      <w:proofErr w:type="spellEnd"/>
      <w:r w:rsidRPr="00CE0968">
        <w:rPr>
          <w:rFonts w:ascii="Times New Roman" w:hAnsi="Times New Roman" w:cs="Times New Roman"/>
        </w:rPr>
        <w:t xml:space="preserve">, P. (1995). </w:t>
      </w:r>
      <w:r w:rsidRPr="00CE0968">
        <w:rPr>
          <w:rFonts w:ascii="Times New Roman" w:hAnsi="Times New Roman" w:cs="Times New Roman"/>
          <w:i/>
          <w:iCs/>
        </w:rPr>
        <w:t>Researching culture: Qualitative methods and cultural studies.</w:t>
      </w:r>
      <w:r w:rsidRPr="00CE0968">
        <w:rPr>
          <w:rFonts w:ascii="Times New Roman" w:hAnsi="Times New Roman" w:cs="Times New Roman"/>
        </w:rPr>
        <w:t xml:space="preserve"> Thousand Oaks, CA: Sage.</w:t>
      </w:r>
    </w:p>
    <w:p w14:paraId="41DFA61C"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American Sociological Association. (2008). Code of ethics and policies and procedures of the ASA committee on professional ethics. Washington, DC: ASA. </w:t>
      </w:r>
    </w:p>
    <w:p w14:paraId="3BF44FF9"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 xml:space="preserve">Amy Blackstone (2012), </w:t>
      </w:r>
      <w:r w:rsidRPr="00CE0968">
        <w:rPr>
          <w:rFonts w:ascii="Times New Roman" w:hAnsi="Times New Roman" w:cs="Times New Roman"/>
          <w:i/>
        </w:rPr>
        <w:t xml:space="preserve">Principles of Sociological Inquiry: Qualitative and Quantitative Methods. </w:t>
      </w:r>
      <w:r w:rsidRPr="00CE0968">
        <w:rPr>
          <w:rFonts w:ascii="Times New Roman" w:hAnsi="Times New Roman" w:cs="Times New Roman"/>
        </w:rPr>
        <w:t>Saylor.org.</w:t>
      </w:r>
    </w:p>
    <w:p w14:paraId="26ACC818"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Anderson, K. (1994). </w:t>
      </w:r>
      <w:r w:rsidRPr="00CE0968">
        <w:rPr>
          <w:rFonts w:ascii="Times New Roman" w:hAnsi="Times New Roman" w:cs="Times New Roman"/>
          <w:i/>
          <w:iCs/>
        </w:rPr>
        <w:t>Thinking about sociology.</w:t>
      </w:r>
      <w:r w:rsidRPr="00CE0968">
        <w:rPr>
          <w:rFonts w:ascii="Times New Roman" w:hAnsi="Times New Roman" w:cs="Times New Roman"/>
        </w:rPr>
        <w:t xml:space="preserve"> New York: Oxford University Press.</w:t>
      </w:r>
    </w:p>
    <w:p w14:paraId="4D8502E1"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Anderson, Leon (2006). Analytic autoethnography. </w:t>
      </w:r>
      <w:r w:rsidRPr="00CE0968">
        <w:rPr>
          <w:rFonts w:ascii="Times New Roman" w:hAnsi="Times New Roman" w:cs="Times New Roman"/>
          <w:i/>
          <w:iCs/>
        </w:rPr>
        <w:t>Journal of Contemporary Ethnography</w:t>
      </w:r>
      <w:r w:rsidRPr="00CE0968">
        <w:rPr>
          <w:rFonts w:ascii="Times New Roman" w:hAnsi="Times New Roman" w:cs="Times New Roman"/>
        </w:rPr>
        <w:t>,</w:t>
      </w:r>
      <w:r w:rsidRPr="00CE0968">
        <w:rPr>
          <w:rFonts w:ascii="Times New Roman" w:hAnsi="Times New Roman" w:cs="Times New Roman"/>
          <w:i/>
          <w:iCs/>
        </w:rPr>
        <w:t> 35</w:t>
      </w:r>
      <w:r w:rsidRPr="00CE0968">
        <w:rPr>
          <w:rFonts w:ascii="Times New Roman" w:hAnsi="Times New Roman" w:cs="Times New Roman"/>
        </w:rPr>
        <w:t>(4), 373-395.</w:t>
      </w:r>
    </w:p>
    <w:p w14:paraId="02CC5A7E"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Anzaldúa, Gloria (1987). </w:t>
      </w:r>
      <w:r w:rsidRPr="00CE0968">
        <w:rPr>
          <w:rFonts w:ascii="Times New Roman" w:hAnsi="Times New Roman" w:cs="Times New Roman"/>
          <w:i/>
          <w:iCs/>
        </w:rPr>
        <w:t>Borderlands/La Frontera: The new mestiza</w:t>
      </w:r>
      <w:r w:rsidRPr="00CE0968">
        <w:rPr>
          <w:rFonts w:ascii="Times New Roman" w:hAnsi="Times New Roman" w:cs="Times New Roman"/>
        </w:rPr>
        <w:t>. San Francisco: Aunt Lute Books.</w:t>
      </w:r>
    </w:p>
    <w:p w14:paraId="74B844B3"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Atkinson, Paul (1997). Narrative turn or blind alley? </w:t>
      </w:r>
      <w:r w:rsidRPr="00CE0968">
        <w:rPr>
          <w:rFonts w:ascii="Times New Roman" w:hAnsi="Times New Roman" w:cs="Times New Roman"/>
          <w:i/>
          <w:iCs/>
        </w:rPr>
        <w:t>Qualitative Health Research</w:t>
      </w:r>
      <w:r w:rsidRPr="00CE0968">
        <w:rPr>
          <w:rFonts w:ascii="Times New Roman" w:hAnsi="Times New Roman" w:cs="Times New Roman"/>
        </w:rPr>
        <w:t>,</w:t>
      </w:r>
      <w:r w:rsidRPr="00CE0968">
        <w:rPr>
          <w:rFonts w:ascii="Times New Roman" w:hAnsi="Times New Roman" w:cs="Times New Roman"/>
          <w:i/>
          <w:iCs/>
        </w:rPr>
        <w:t> 7</w:t>
      </w:r>
      <w:r w:rsidRPr="00CE0968">
        <w:rPr>
          <w:rFonts w:ascii="Times New Roman" w:hAnsi="Times New Roman" w:cs="Times New Roman"/>
        </w:rPr>
        <w:t>(3), 325-344.</w:t>
      </w:r>
    </w:p>
    <w:p w14:paraId="5C307852"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 xml:space="preserve">Atkinson, Robert (2007). The life story interview as a bridge in narrative inquiry. In D. Jean </w:t>
      </w:r>
      <w:proofErr w:type="spellStart"/>
      <w:r w:rsidRPr="00CE0968">
        <w:rPr>
          <w:rFonts w:ascii="Times New Roman" w:hAnsi="Times New Roman" w:cs="Times New Roman"/>
        </w:rPr>
        <w:t>Clandinin</w:t>
      </w:r>
      <w:proofErr w:type="spellEnd"/>
      <w:r w:rsidRPr="00CE0968">
        <w:rPr>
          <w:rFonts w:ascii="Times New Roman" w:hAnsi="Times New Roman" w:cs="Times New Roman"/>
        </w:rPr>
        <w:t xml:space="preserve"> (Ed.), </w:t>
      </w:r>
      <w:r w:rsidRPr="00CE0968">
        <w:rPr>
          <w:rFonts w:ascii="Times New Roman" w:hAnsi="Times New Roman" w:cs="Times New Roman"/>
          <w:i/>
          <w:iCs/>
        </w:rPr>
        <w:t>Handbook of narrative inquiry</w:t>
      </w:r>
      <w:r w:rsidRPr="00CE0968">
        <w:rPr>
          <w:rFonts w:ascii="Times New Roman" w:hAnsi="Times New Roman" w:cs="Times New Roman"/>
        </w:rPr>
        <w:t> (pp.224-245). Thousand Oaks, CA: Sage.</w:t>
      </w:r>
    </w:p>
    <w:p w14:paraId="4A84C4EB"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Averill, J. B. (2006). Getting started: Initiating critical ethnography and community-based action research in a program of rural health studies. </w:t>
      </w:r>
      <w:r w:rsidRPr="00CE0968">
        <w:rPr>
          <w:rFonts w:ascii="Times New Roman" w:hAnsi="Times New Roman" w:cs="Times New Roman"/>
          <w:i/>
          <w:iCs/>
        </w:rPr>
        <w:t>International Journal of Qualitative Methods, 5</w:t>
      </w:r>
      <w:r w:rsidRPr="00CE0968">
        <w:rPr>
          <w:rFonts w:ascii="Times New Roman" w:hAnsi="Times New Roman" w:cs="Times New Roman"/>
        </w:rPr>
        <w:t>(2), 17-27.</w:t>
      </w:r>
    </w:p>
    <w:p w14:paraId="6283511F"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Barthes, Roland (1977). </w:t>
      </w:r>
      <w:r w:rsidRPr="00CE0968">
        <w:rPr>
          <w:rFonts w:ascii="Times New Roman" w:hAnsi="Times New Roman" w:cs="Times New Roman"/>
          <w:i/>
          <w:iCs/>
        </w:rPr>
        <w:t>Image, music, text</w:t>
      </w:r>
      <w:r w:rsidRPr="00CE0968">
        <w:rPr>
          <w:rFonts w:ascii="Times New Roman" w:hAnsi="Times New Roman" w:cs="Times New Roman"/>
        </w:rPr>
        <w:t> (transl. by S. Heath). New York: Hill and Wang.</w:t>
      </w:r>
    </w:p>
    <w:p w14:paraId="62CC05B9"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Benedict, Ruth. 1946. </w:t>
      </w:r>
      <w:r w:rsidRPr="00CE0968">
        <w:rPr>
          <w:rFonts w:ascii="Times New Roman" w:hAnsi="Times New Roman" w:cs="Times New Roman"/>
          <w:i/>
        </w:rPr>
        <w:t xml:space="preserve">The chrysanthemum and the sword: Patterns of Japanese culture. </w:t>
      </w:r>
      <w:r w:rsidRPr="00CE0968">
        <w:rPr>
          <w:rFonts w:ascii="Times New Roman" w:hAnsi="Times New Roman" w:cs="Times New Roman"/>
        </w:rPr>
        <w:t>Boston: Houghton Mifflin.</w:t>
      </w:r>
    </w:p>
    <w:p w14:paraId="480486E3"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Berry, Keith (2005). To the "speeches" themselves: An ethnographic and phenomenological account of emergent identity formation. </w:t>
      </w:r>
      <w:r w:rsidRPr="00CE0968">
        <w:rPr>
          <w:rFonts w:ascii="Times New Roman" w:hAnsi="Times New Roman" w:cs="Times New Roman"/>
          <w:i/>
          <w:iCs/>
        </w:rPr>
        <w:t>International Journal of Communication</w:t>
      </w:r>
      <w:r w:rsidRPr="00CE0968">
        <w:rPr>
          <w:rFonts w:ascii="Times New Roman" w:hAnsi="Times New Roman" w:cs="Times New Roman"/>
        </w:rPr>
        <w:t>,</w:t>
      </w:r>
      <w:r w:rsidRPr="00CE0968">
        <w:rPr>
          <w:rFonts w:ascii="Times New Roman" w:hAnsi="Times New Roman" w:cs="Times New Roman"/>
          <w:i/>
          <w:iCs/>
        </w:rPr>
        <w:t> 15</w:t>
      </w:r>
      <w:r w:rsidRPr="00CE0968">
        <w:rPr>
          <w:rFonts w:ascii="Times New Roman" w:hAnsi="Times New Roman" w:cs="Times New Roman"/>
        </w:rPr>
        <w:t>(1-2), 21-50.</w:t>
      </w:r>
    </w:p>
    <w:p w14:paraId="70B795E4"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Berry, Keith (2007). Embracing the catastrophe: Gay body seeks acceptance. </w:t>
      </w:r>
      <w:r w:rsidRPr="00CE0968">
        <w:rPr>
          <w:rFonts w:ascii="Times New Roman" w:hAnsi="Times New Roman" w:cs="Times New Roman"/>
          <w:i/>
          <w:iCs/>
        </w:rPr>
        <w:t>Qualitative Inquiry</w:t>
      </w:r>
      <w:r w:rsidRPr="00CE0968">
        <w:rPr>
          <w:rFonts w:ascii="Times New Roman" w:hAnsi="Times New Roman" w:cs="Times New Roman"/>
        </w:rPr>
        <w:t>, </w:t>
      </w:r>
      <w:r w:rsidRPr="00CE0968">
        <w:rPr>
          <w:rFonts w:ascii="Times New Roman" w:hAnsi="Times New Roman" w:cs="Times New Roman"/>
          <w:i/>
          <w:iCs/>
        </w:rPr>
        <w:t>13</w:t>
      </w:r>
      <w:r w:rsidRPr="00CE0968">
        <w:rPr>
          <w:rFonts w:ascii="Times New Roman" w:hAnsi="Times New Roman" w:cs="Times New Roman"/>
        </w:rPr>
        <w:t>(2), 259-281.</w:t>
      </w:r>
    </w:p>
    <w:p w14:paraId="4DFE4D74"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Blackstone, A. (2012). </w:t>
      </w:r>
      <w:r w:rsidRPr="00CE0968">
        <w:rPr>
          <w:rFonts w:ascii="Times New Roman" w:hAnsi="Times New Roman" w:cs="Times New Roman"/>
          <w:i/>
        </w:rPr>
        <w:t>Principles of sociological inquiry – Qualitative and quantitative methods</w:t>
      </w:r>
      <w:r w:rsidRPr="00CE0968">
        <w:rPr>
          <w:rFonts w:ascii="Times New Roman" w:hAnsi="Times New Roman" w:cs="Times New Roman"/>
        </w:rPr>
        <w:t xml:space="preserve">. Retrieved from </w:t>
      </w:r>
      <w:hyperlink r:id="rId83" w:history="1">
        <w:r w:rsidRPr="00CE0968">
          <w:rPr>
            <w:rStyle w:val="Hyperlink"/>
            <w:rFonts w:ascii="Times New Roman" w:hAnsi="Times New Roman" w:cs="Times New Roman"/>
          </w:rPr>
          <w:t>https://resources.saylor.org/wwwresources/archived/site/textbooks/Principles%20of%20Sociological%20Inquiry.pdf</w:t>
        </w:r>
      </w:hyperlink>
    </w:p>
    <w:p w14:paraId="2FEE3E46"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Blair, Carole; Brown, Julie R. &amp; Baxter, Leslie A. (1994). Disciplining the feminine. </w:t>
      </w:r>
      <w:r w:rsidRPr="00CE0968">
        <w:rPr>
          <w:rFonts w:ascii="Times New Roman" w:hAnsi="Times New Roman" w:cs="Times New Roman"/>
          <w:i/>
          <w:iCs/>
        </w:rPr>
        <w:t>Quarterly Journal of Speech</w:t>
      </w:r>
      <w:r w:rsidRPr="00CE0968">
        <w:rPr>
          <w:rFonts w:ascii="Times New Roman" w:hAnsi="Times New Roman" w:cs="Times New Roman"/>
        </w:rPr>
        <w:t>,</w:t>
      </w:r>
      <w:r w:rsidRPr="00CE0968">
        <w:rPr>
          <w:rFonts w:ascii="Times New Roman" w:hAnsi="Times New Roman" w:cs="Times New Roman"/>
          <w:i/>
          <w:iCs/>
        </w:rPr>
        <w:t> 80</w:t>
      </w:r>
      <w:r w:rsidRPr="00CE0968">
        <w:rPr>
          <w:rFonts w:ascii="Times New Roman" w:hAnsi="Times New Roman" w:cs="Times New Roman"/>
        </w:rPr>
        <w:t>(4), 383-409.</w:t>
      </w:r>
    </w:p>
    <w:p w14:paraId="61D7C2D1" w14:textId="77777777" w:rsidR="00D91945" w:rsidRPr="00CE0968" w:rsidRDefault="00D91945" w:rsidP="00D91945">
      <w:pPr>
        <w:ind w:left="720" w:hanging="720"/>
        <w:rPr>
          <w:rFonts w:ascii="Times New Roman" w:hAnsi="Times New Roman" w:cs="Times New Roman"/>
        </w:rPr>
      </w:pPr>
      <w:r w:rsidRPr="00CE0968">
        <w:rPr>
          <w:rFonts w:ascii="Times New Roman" w:hAnsi="Times New Roman" w:cs="Times New Roman"/>
        </w:rPr>
        <w:t xml:space="preserve">Boas, Franz. 1920. The methods of ethnology. </w:t>
      </w:r>
      <w:r w:rsidRPr="00CE0968">
        <w:rPr>
          <w:rFonts w:ascii="Times New Roman" w:hAnsi="Times New Roman" w:cs="Times New Roman"/>
          <w:i/>
        </w:rPr>
        <w:t>American Anthropologist 22</w:t>
      </w:r>
      <w:r w:rsidRPr="00CE0968">
        <w:rPr>
          <w:rFonts w:ascii="Times New Roman" w:hAnsi="Times New Roman" w:cs="Times New Roman"/>
        </w:rPr>
        <w:t>(4):311–21.</w:t>
      </w:r>
    </w:p>
    <w:p w14:paraId="2D59BF64"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Bochner</w:t>
      </w:r>
      <w:proofErr w:type="spellEnd"/>
      <w:r w:rsidRPr="00CE0968">
        <w:rPr>
          <w:rFonts w:ascii="Times New Roman" w:hAnsi="Times New Roman" w:cs="Times New Roman"/>
        </w:rPr>
        <w:t>, Arthur P. &amp; Ellis, Carolyn (1995). Telling and living: Narrative co-construction and the practices of interpersonal relationships. In Wendy Leeds-Hurwitz (Ed.), </w:t>
      </w:r>
      <w:r w:rsidRPr="00CE0968">
        <w:rPr>
          <w:rFonts w:ascii="Times New Roman" w:hAnsi="Times New Roman" w:cs="Times New Roman"/>
          <w:i/>
          <w:iCs/>
        </w:rPr>
        <w:t>Social approaches to communication</w:t>
      </w:r>
      <w:r w:rsidRPr="00CE0968">
        <w:rPr>
          <w:rFonts w:ascii="Times New Roman" w:hAnsi="Times New Roman" w:cs="Times New Roman"/>
        </w:rPr>
        <w:t> (pp.201-213). New York: Guilford.</w:t>
      </w:r>
    </w:p>
    <w:p w14:paraId="671035A5"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lastRenderedPageBreak/>
        <w:t>Bochner</w:t>
      </w:r>
      <w:proofErr w:type="spellEnd"/>
      <w:r w:rsidRPr="00CE0968">
        <w:rPr>
          <w:rFonts w:ascii="Times New Roman" w:hAnsi="Times New Roman" w:cs="Times New Roman"/>
        </w:rPr>
        <w:t>, Arthur P. &amp; </w:t>
      </w:r>
      <w:hyperlink r:id="rId84" w:tgtFrame="_self" w:history="1">
        <w:r w:rsidRPr="00CE0968">
          <w:rPr>
            <w:rStyle w:val="Hyperlink"/>
            <w:rFonts w:ascii="Times New Roman" w:hAnsi="Times New Roman" w:cs="Times New Roman"/>
          </w:rPr>
          <w:t>Ellis, Carolyn</w:t>
        </w:r>
      </w:hyperlink>
      <w:r w:rsidRPr="00CE0968">
        <w:rPr>
          <w:rFonts w:ascii="Times New Roman" w:hAnsi="Times New Roman" w:cs="Times New Roman"/>
        </w:rPr>
        <w:t> (1992). Personal narrative as a social approach to interpersonal communication. </w:t>
      </w:r>
      <w:r w:rsidRPr="00CE0968">
        <w:rPr>
          <w:rFonts w:ascii="Times New Roman" w:hAnsi="Times New Roman" w:cs="Times New Roman"/>
          <w:i/>
          <w:iCs/>
        </w:rPr>
        <w:t>Communication Theory</w:t>
      </w:r>
      <w:r w:rsidRPr="00CE0968">
        <w:rPr>
          <w:rFonts w:ascii="Times New Roman" w:hAnsi="Times New Roman" w:cs="Times New Roman"/>
        </w:rPr>
        <w:t>,</w:t>
      </w:r>
      <w:r w:rsidRPr="00CE0968">
        <w:rPr>
          <w:rFonts w:ascii="Times New Roman" w:hAnsi="Times New Roman" w:cs="Times New Roman"/>
          <w:i/>
          <w:iCs/>
        </w:rPr>
        <w:t> 2</w:t>
      </w:r>
      <w:r w:rsidRPr="00CE0968">
        <w:rPr>
          <w:rFonts w:ascii="Times New Roman" w:hAnsi="Times New Roman" w:cs="Times New Roman"/>
        </w:rPr>
        <w:t>(2), 165-172.</w:t>
      </w:r>
    </w:p>
    <w:p w14:paraId="73E6DE5E"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Bochner</w:t>
      </w:r>
      <w:proofErr w:type="spellEnd"/>
      <w:r w:rsidRPr="00CE0968">
        <w:rPr>
          <w:rFonts w:ascii="Times New Roman" w:hAnsi="Times New Roman" w:cs="Times New Roman"/>
        </w:rPr>
        <w:t>, Arthur P. (1984). The functions of human communication in interpersonal bonding. In Carroll C. Arnold &amp; John W. Bowers (Eds.), </w:t>
      </w:r>
      <w:r w:rsidRPr="00CE0968">
        <w:rPr>
          <w:rFonts w:ascii="Times New Roman" w:hAnsi="Times New Roman" w:cs="Times New Roman"/>
          <w:i/>
          <w:iCs/>
        </w:rPr>
        <w:t>Handbook of rhetorical and communication theory</w:t>
      </w:r>
      <w:r w:rsidRPr="00CE0968">
        <w:rPr>
          <w:rFonts w:ascii="Times New Roman" w:hAnsi="Times New Roman" w:cs="Times New Roman"/>
        </w:rPr>
        <w:t> (pp.544-621). Boston: Allyn and Bacon.</w:t>
      </w:r>
    </w:p>
    <w:p w14:paraId="7AEDBDC5"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Bochner</w:t>
      </w:r>
      <w:proofErr w:type="spellEnd"/>
      <w:r w:rsidRPr="00CE0968">
        <w:rPr>
          <w:rFonts w:ascii="Times New Roman" w:hAnsi="Times New Roman" w:cs="Times New Roman"/>
        </w:rPr>
        <w:t>, Arthur P. (1994). Perspectives on inquiry II: Theories and stories. In Mark L. Knapp &amp; Gerald R. Miller (Eds.), </w:t>
      </w:r>
      <w:r w:rsidRPr="00CE0968">
        <w:rPr>
          <w:rFonts w:ascii="Times New Roman" w:hAnsi="Times New Roman" w:cs="Times New Roman"/>
          <w:i/>
          <w:iCs/>
        </w:rPr>
        <w:t>Handbook of interpersonal communication</w:t>
      </w:r>
      <w:r w:rsidRPr="00CE0968">
        <w:rPr>
          <w:rFonts w:ascii="Times New Roman" w:hAnsi="Times New Roman" w:cs="Times New Roman"/>
        </w:rPr>
        <w:t> (pp.21-41). Thousand Oaks, CA: Sage.</w:t>
      </w:r>
    </w:p>
    <w:p w14:paraId="0D963810"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Bochner</w:t>
      </w:r>
      <w:proofErr w:type="spellEnd"/>
      <w:r w:rsidRPr="00CE0968">
        <w:rPr>
          <w:rFonts w:ascii="Times New Roman" w:hAnsi="Times New Roman" w:cs="Times New Roman"/>
        </w:rPr>
        <w:t>, Arthur P. (1997). It's about time: Narrative and the divided self.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 3</w:t>
      </w:r>
      <w:r w:rsidRPr="00CE0968">
        <w:rPr>
          <w:rFonts w:ascii="Times New Roman" w:hAnsi="Times New Roman" w:cs="Times New Roman"/>
        </w:rPr>
        <w:t>(4), 418-438.</w:t>
      </w:r>
    </w:p>
    <w:p w14:paraId="56F17D47"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Bochner</w:t>
      </w:r>
      <w:proofErr w:type="spellEnd"/>
      <w:r w:rsidRPr="00CE0968">
        <w:rPr>
          <w:rFonts w:ascii="Times New Roman" w:hAnsi="Times New Roman" w:cs="Times New Roman"/>
        </w:rPr>
        <w:t>, Arthur P. (2000). Criteria against ourselves.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 6</w:t>
      </w:r>
      <w:r w:rsidRPr="00CE0968">
        <w:rPr>
          <w:rFonts w:ascii="Times New Roman" w:hAnsi="Times New Roman" w:cs="Times New Roman"/>
        </w:rPr>
        <w:t>(2), 266-272.</w:t>
      </w:r>
    </w:p>
    <w:p w14:paraId="095FE0DE"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Bochner</w:t>
      </w:r>
      <w:proofErr w:type="spellEnd"/>
      <w:r w:rsidRPr="00CE0968">
        <w:rPr>
          <w:rFonts w:ascii="Times New Roman" w:hAnsi="Times New Roman" w:cs="Times New Roman"/>
        </w:rPr>
        <w:t>, Arthur P. (2001). Narrative's virtues.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 7</w:t>
      </w:r>
      <w:r w:rsidRPr="00CE0968">
        <w:rPr>
          <w:rFonts w:ascii="Times New Roman" w:hAnsi="Times New Roman" w:cs="Times New Roman"/>
        </w:rPr>
        <w:t>(2), 131-157.</w:t>
      </w:r>
    </w:p>
    <w:p w14:paraId="3E42507B" w14:textId="77777777" w:rsidR="00D91945" w:rsidRDefault="00D91945" w:rsidP="00D91945">
      <w:pPr>
        <w:ind w:hanging="720"/>
        <w:rPr>
          <w:rFonts w:ascii="Times New Roman" w:hAnsi="Times New Roman" w:cs="Times New Roman"/>
        </w:rPr>
      </w:pPr>
      <w:proofErr w:type="spellStart"/>
      <w:r w:rsidRPr="00CE0968">
        <w:rPr>
          <w:rFonts w:ascii="Times New Roman" w:hAnsi="Times New Roman" w:cs="Times New Roman"/>
        </w:rPr>
        <w:t>Bochner</w:t>
      </w:r>
      <w:proofErr w:type="spellEnd"/>
      <w:r w:rsidRPr="00CE0968">
        <w:rPr>
          <w:rFonts w:ascii="Times New Roman" w:hAnsi="Times New Roman" w:cs="Times New Roman"/>
        </w:rPr>
        <w:t>, Arthur P. (2002). Perspectives on inquiry III: The moral of s</w:t>
      </w:r>
      <w:r>
        <w:rPr>
          <w:rFonts w:ascii="Times New Roman" w:hAnsi="Times New Roman" w:cs="Times New Roman"/>
        </w:rPr>
        <w:t>tories. In Mark L. Knapp &amp; Joh</w:t>
      </w:r>
    </w:p>
    <w:p w14:paraId="1116627E"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Bohanan</w:t>
      </w:r>
      <w:proofErr w:type="spellEnd"/>
      <w:r w:rsidRPr="00CE0968">
        <w:rPr>
          <w:rFonts w:ascii="Times New Roman" w:hAnsi="Times New Roman" w:cs="Times New Roman"/>
        </w:rPr>
        <w:t xml:space="preserve">, Laura. 1966. Shakespeare in the bush. </w:t>
      </w:r>
      <w:r w:rsidRPr="00CE0968">
        <w:rPr>
          <w:rFonts w:ascii="Times New Roman" w:hAnsi="Times New Roman" w:cs="Times New Roman"/>
          <w:i/>
        </w:rPr>
        <w:t xml:space="preserve">Natural History. </w:t>
      </w:r>
      <w:r w:rsidRPr="00CE0968">
        <w:rPr>
          <w:rFonts w:ascii="Times New Roman" w:hAnsi="Times New Roman" w:cs="Times New Roman"/>
        </w:rPr>
        <w:t xml:space="preserve">Available at </w:t>
      </w:r>
      <w:hyperlink r:id="rId85" w:history="1">
        <w:r w:rsidRPr="00CE0968">
          <w:rPr>
            <w:rStyle w:val="Hyperlink"/>
            <w:rFonts w:ascii="Times New Roman" w:hAnsi="Times New Roman" w:cs="Times New Roman"/>
          </w:rPr>
          <w:t>http://law.ubalt.edu/downloads/</w:t>
        </w:r>
      </w:hyperlink>
      <w:r w:rsidRPr="00CE0968">
        <w:rPr>
          <w:rFonts w:ascii="Times New Roman" w:hAnsi="Times New Roman" w:cs="Times New Roman"/>
        </w:rPr>
        <w:t xml:space="preserve"> </w:t>
      </w:r>
      <w:proofErr w:type="spellStart"/>
      <w:r w:rsidRPr="00CE0968">
        <w:rPr>
          <w:rFonts w:ascii="Times New Roman" w:hAnsi="Times New Roman" w:cs="Times New Roman"/>
        </w:rPr>
        <w:t>law_downloads</w:t>
      </w:r>
      <w:proofErr w:type="spellEnd"/>
      <w:r w:rsidRPr="00CE0968">
        <w:rPr>
          <w:rFonts w:ascii="Times New Roman" w:hAnsi="Times New Roman" w:cs="Times New Roman"/>
        </w:rPr>
        <w:t>/IRC_Shakespeare_in_the_Bush1.pdf.</w:t>
      </w:r>
    </w:p>
    <w:p w14:paraId="22CD2D27"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Borchard</w:t>
      </w:r>
      <w:proofErr w:type="spellEnd"/>
      <w:r w:rsidRPr="00CE0968">
        <w:rPr>
          <w:rFonts w:ascii="Times New Roman" w:hAnsi="Times New Roman" w:cs="Times New Roman"/>
        </w:rPr>
        <w:t>, Kurt (1998). Between a hard rock and postmodernism: Opening the Hard Rock Hotel and Casino. </w:t>
      </w:r>
      <w:r w:rsidRPr="00CE0968">
        <w:rPr>
          <w:rFonts w:ascii="Times New Roman" w:hAnsi="Times New Roman" w:cs="Times New Roman"/>
          <w:i/>
          <w:iCs/>
        </w:rPr>
        <w:t>Journal of Contemporary Ethnography</w:t>
      </w:r>
      <w:r w:rsidRPr="00CE0968">
        <w:rPr>
          <w:rFonts w:ascii="Times New Roman" w:hAnsi="Times New Roman" w:cs="Times New Roman"/>
        </w:rPr>
        <w:t>,</w:t>
      </w:r>
      <w:r w:rsidRPr="00CE0968">
        <w:rPr>
          <w:rFonts w:ascii="Times New Roman" w:hAnsi="Times New Roman" w:cs="Times New Roman"/>
          <w:i/>
          <w:iCs/>
        </w:rPr>
        <w:t> 27</w:t>
      </w:r>
      <w:r w:rsidRPr="00CE0968">
        <w:rPr>
          <w:rFonts w:ascii="Times New Roman" w:hAnsi="Times New Roman" w:cs="Times New Roman"/>
        </w:rPr>
        <w:t>(2), 242-269.</w:t>
      </w:r>
    </w:p>
    <w:p w14:paraId="3449FF8B"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Boylorn</w:t>
      </w:r>
      <w:proofErr w:type="spellEnd"/>
      <w:r w:rsidRPr="00CE0968">
        <w:rPr>
          <w:rFonts w:ascii="Times New Roman" w:hAnsi="Times New Roman" w:cs="Times New Roman"/>
        </w:rPr>
        <w:t xml:space="preserve">, Robin M. (2006). E pluribus </w:t>
      </w:r>
      <w:proofErr w:type="spellStart"/>
      <w:r w:rsidRPr="00CE0968">
        <w:rPr>
          <w:rFonts w:ascii="Times New Roman" w:hAnsi="Times New Roman" w:cs="Times New Roman"/>
        </w:rPr>
        <w:t>unum</w:t>
      </w:r>
      <w:proofErr w:type="spellEnd"/>
      <w:r w:rsidRPr="00CE0968">
        <w:rPr>
          <w:rFonts w:ascii="Times New Roman" w:hAnsi="Times New Roman" w:cs="Times New Roman"/>
        </w:rPr>
        <w:t xml:space="preserve"> (out of many, one). </w:t>
      </w:r>
      <w:r w:rsidRPr="00CE0968">
        <w:rPr>
          <w:rFonts w:ascii="Times New Roman" w:hAnsi="Times New Roman" w:cs="Times New Roman"/>
          <w:i/>
          <w:iCs/>
        </w:rPr>
        <w:t>Qualitative Inquiry</w:t>
      </w:r>
      <w:r w:rsidRPr="00CE0968">
        <w:rPr>
          <w:rFonts w:ascii="Times New Roman" w:hAnsi="Times New Roman" w:cs="Times New Roman"/>
        </w:rPr>
        <w:t>, </w:t>
      </w:r>
      <w:r w:rsidRPr="00CE0968">
        <w:rPr>
          <w:rFonts w:ascii="Times New Roman" w:hAnsi="Times New Roman" w:cs="Times New Roman"/>
          <w:i/>
          <w:iCs/>
        </w:rPr>
        <w:t>12</w:t>
      </w:r>
      <w:r w:rsidRPr="00CE0968">
        <w:rPr>
          <w:rFonts w:ascii="Times New Roman" w:hAnsi="Times New Roman" w:cs="Times New Roman"/>
        </w:rPr>
        <w:t>(4), 651-680.</w:t>
      </w:r>
    </w:p>
    <w:p w14:paraId="15DD5130" w14:textId="77777777" w:rsidR="00D91945" w:rsidRDefault="00D91945" w:rsidP="00D91945">
      <w:pPr>
        <w:ind w:hanging="720"/>
        <w:rPr>
          <w:rFonts w:ascii="Times New Roman" w:hAnsi="Times New Roman" w:cs="Times New Roman"/>
        </w:rPr>
      </w:pPr>
      <w:proofErr w:type="spellStart"/>
      <w:r w:rsidRPr="00CE0968">
        <w:rPr>
          <w:rFonts w:ascii="Times New Roman" w:hAnsi="Times New Roman" w:cs="Times New Roman"/>
        </w:rPr>
        <w:t>Boylorn</w:t>
      </w:r>
      <w:proofErr w:type="spellEnd"/>
      <w:r w:rsidRPr="00CE0968">
        <w:rPr>
          <w:rFonts w:ascii="Times New Roman" w:hAnsi="Times New Roman" w:cs="Times New Roman"/>
        </w:rPr>
        <w:t>, Robin M. (2008). As seen on TV: An autoethnographic reflection on race and reality television. </w:t>
      </w:r>
      <w:r w:rsidRPr="00CE0968">
        <w:rPr>
          <w:rFonts w:ascii="Times New Roman" w:hAnsi="Times New Roman" w:cs="Times New Roman"/>
          <w:i/>
          <w:iCs/>
        </w:rPr>
        <w:t>Critical Studies in Media Communication</w:t>
      </w:r>
      <w:r w:rsidRPr="00CE0968">
        <w:rPr>
          <w:rFonts w:ascii="Times New Roman" w:hAnsi="Times New Roman" w:cs="Times New Roman"/>
        </w:rPr>
        <w:t>,</w:t>
      </w:r>
      <w:r w:rsidRPr="00CE0968">
        <w:rPr>
          <w:rFonts w:ascii="Times New Roman" w:hAnsi="Times New Roman" w:cs="Times New Roman"/>
          <w:i/>
          <w:iCs/>
        </w:rPr>
        <w:t> 25</w:t>
      </w:r>
      <w:r w:rsidRPr="00CE0968">
        <w:rPr>
          <w:rFonts w:ascii="Times New Roman" w:hAnsi="Times New Roman" w:cs="Times New Roman"/>
        </w:rPr>
        <w:t>(4), 413-433.</w:t>
      </w:r>
    </w:p>
    <w:p w14:paraId="6680622C"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Bradburd</w:t>
      </w:r>
      <w:proofErr w:type="spellEnd"/>
      <w:r w:rsidRPr="00CE0968">
        <w:rPr>
          <w:rFonts w:ascii="Times New Roman" w:hAnsi="Times New Roman" w:cs="Times New Roman"/>
        </w:rPr>
        <w:t xml:space="preserve">, Daniel. 1998. </w:t>
      </w:r>
      <w:r w:rsidRPr="00CE0968">
        <w:rPr>
          <w:rFonts w:ascii="Times New Roman" w:hAnsi="Times New Roman" w:cs="Times New Roman"/>
          <w:i/>
        </w:rPr>
        <w:t xml:space="preserve">Being there: The necessity of fieldwork. </w:t>
      </w:r>
      <w:r w:rsidRPr="00CE0968">
        <w:rPr>
          <w:rFonts w:ascii="Times New Roman" w:hAnsi="Times New Roman" w:cs="Times New Roman"/>
        </w:rPr>
        <w:t xml:space="preserve">Washington, DC: Smithsonian Institution Press. </w:t>
      </w:r>
    </w:p>
    <w:p w14:paraId="6643139D" w14:textId="77777777" w:rsidR="00D91945" w:rsidRPr="00F41DF7" w:rsidRDefault="00D91945" w:rsidP="00D91945">
      <w:pPr>
        <w:ind w:hanging="720"/>
        <w:rPr>
          <w:rFonts w:ascii="Times New Roman" w:hAnsi="Times New Roman" w:cs="Times New Roman"/>
        </w:rPr>
      </w:pPr>
      <w:proofErr w:type="spellStart"/>
      <w:r w:rsidRPr="00F41DF7">
        <w:rPr>
          <w:rFonts w:ascii="Times New Roman" w:hAnsi="Times New Roman" w:cs="Times New Roman"/>
        </w:rPr>
        <w:t>Brajuha</w:t>
      </w:r>
      <w:proofErr w:type="spellEnd"/>
      <w:r w:rsidRPr="00F41DF7">
        <w:rPr>
          <w:rFonts w:ascii="Times New Roman" w:hAnsi="Times New Roman" w:cs="Times New Roman"/>
        </w:rPr>
        <w:t xml:space="preserve">, M., &amp; Hallowell, L. (1986). Legal intrusion and the politics of fieldwork: The impact of the </w:t>
      </w:r>
      <w:proofErr w:type="spellStart"/>
      <w:r w:rsidRPr="00F41DF7">
        <w:rPr>
          <w:rFonts w:ascii="Times New Roman" w:hAnsi="Times New Roman" w:cs="Times New Roman"/>
        </w:rPr>
        <w:t>Brajuha</w:t>
      </w:r>
      <w:proofErr w:type="spellEnd"/>
      <w:r w:rsidRPr="00F41DF7">
        <w:rPr>
          <w:rFonts w:ascii="Times New Roman" w:hAnsi="Times New Roman" w:cs="Times New Roman"/>
        </w:rPr>
        <w:t xml:space="preserve"> case. Urban Life, 14, 454–478.</w:t>
      </w:r>
    </w:p>
    <w:p w14:paraId="365461E0"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Bruner, Jerome (1993). The autobiographical process. In Robert Folkenflik (Ed.), </w:t>
      </w:r>
      <w:r w:rsidRPr="00CE0968">
        <w:rPr>
          <w:rFonts w:ascii="Times New Roman" w:hAnsi="Times New Roman" w:cs="Times New Roman"/>
          <w:i/>
          <w:iCs/>
        </w:rPr>
        <w:t>The culture of autobiography: Constructions of self-representation</w:t>
      </w:r>
      <w:r w:rsidRPr="00CE0968">
        <w:rPr>
          <w:rFonts w:ascii="Times New Roman" w:hAnsi="Times New Roman" w:cs="Times New Roman"/>
        </w:rPr>
        <w:t> (pp.38-56). Stanford, CA: Stanford University Press.</w:t>
      </w:r>
    </w:p>
    <w:p w14:paraId="5E3BA12B"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Bryman, A. (2004). </w:t>
      </w:r>
      <w:r w:rsidRPr="00CE0968">
        <w:rPr>
          <w:rFonts w:ascii="Times New Roman" w:hAnsi="Times New Roman" w:cs="Times New Roman"/>
          <w:i/>
          <w:iCs/>
        </w:rPr>
        <w:t xml:space="preserve">Social research methods </w:t>
      </w:r>
      <w:r w:rsidRPr="00CE0968">
        <w:rPr>
          <w:rFonts w:ascii="Times New Roman" w:hAnsi="Times New Roman" w:cs="Times New Roman"/>
        </w:rPr>
        <w:t>(2</w:t>
      </w:r>
      <w:r w:rsidRPr="00CE0968">
        <w:rPr>
          <w:rFonts w:ascii="Times New Roman" w:hAnsi="Times New Roman" w:cs="Times New Roman"/>
          <w:vertAlign w:val="superscript"/>
        </w:rPr>
        <w:t>nd</w:t>
      </w:r>
      <w:r w:rsidRPr="00CE0968">
        <w:rPr>
          <w:rFonts w:ascii="Times New Roman" w:hAnsi="Times New Roman" w:cs="Times New Roman"/>
        </w:rPr>
        <w:t xml:space="preserve"> edition). Oxford: Oxford University Press.</w:t>
      </w:r>
    </w:p>
    <w:p w14:paraId="30A2E3CF"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Buzard</w:t>
      </w:r>
      <w:proofErr w:type="spellEnd"/>
      <w:r w:rsidRPr="00CE0968">
        <w:rPr>
          <w:rFonts w:ascii="Times New Roman" w:hAnsi="Times New Roman" w:cs="Times New Roman"/>
        </w:rPr>
        <w:t>, James (2003). On auto-ethnographic authority. </w:t>
      </w:r>
      <w:r w:rsidRPr="00CE0968">
        <w:rPr>
          <w:rFonts w:ascii="Times New Roman" w:hAnsi="Times New Roman" w:cs="Times New Roman"/>
          <w:i/>
          <w:iCs/>
        </w:rPr>
        <w:t>The Yale Journal of Criticism</w:t>
      </w:r>
      <w:r w:rsidRPr="00CE0968">
        <w:rPr>
          <w:rFonts w:ascii="Times New Roman" w:hAnsi="Times New Roman" w:cs="Times New Roman"/>
        </w:rPr>
        <w:t>,</w:t>
      </w:r>
      <w:r w:rsidRPr="00CE0968">
        <w:rPr>
          <w:rFonts w:ascii="Times New Roman" w:hAnsi="Times New Roman" w:cs="Times New Roman"/>
          <w:i/>
          <w:iCs/>
        </w:rPr>
        <w:t> 16</w:t>
      </w:r>
      <w:r w:rsidRPr="00CE0968">
        <w:rPr>
          <w:rFonts w:ascii="Times New Roman" w:hAnsi="Times New Roman" w:cs="Times New Roman"/>
        </w:rPr>
        <w:t>(1), 61-91.</w:t>
      </w:r>
    </w:p>
    <w:p w14:paraId="740A5955"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Caulley</w:t>
      </w:r>
      <w:proofErr w:type="spellEnd"/>
      <w:r w:rsidRPr="00CE0968">
        <w:rPr>
          <w:rFonts w:ascii="Times New Roman" w:hAnsi="Times New Roman" w:cs="Times New Roman"/>
        </w:rPr>
        <w:t xml:space="preserve">, Darrel N. (2008). Making qualitative research reports less boring: The techniques of writing creative </w:t>
      </w:r>
      <w:proofErr w:type="spellStart"/>
      <w:proofErr w:type="gramStart"/>
      <w:r w:rsidRPr="00CE0968">
        <w:rPr>
          <w:rFonts w:ascii="Times New Roman" w:hAnsi="Times New Roman" w:cs="Times New Roman"/>
        </w:rPr>
        <w:t>nonfiction.</w:t>
      </w:r>
      <w:r w:rsidRPr="00CE0968">
        <w:rPr>
          <w:rFonts w:ascii="Times New Roman" w:hAnsi="Times New Roman" w:cs="Times New Roman"/>
          <w:i/>
          <w:iCs/>
        </w:rPr>
        <w:t>Qualitative</w:t>
      </w:r>
      <w:proofErr w:type="spellEnd"/>
      <w:proofErr w:type="gramEnd"/>
      <w:r w:rsidRPr="00CE0968">
        <w:rPr>
          <w:rFonts w:ascii="Times New Roman" w:hAnsi="Times New Roman" w:cs="Times New Roman"/>
          <w:i/>
          <w:iCs/>
        </w:rPr>
        <w:t xml:space="preserve"> Inquiry</w:t>
      </w:r>
      <w:r w:rsidRPr="00CE0968">
        <w:rPr>
          <w:rFonts w:ascii="Times New Roman" w:hAnsi="Times New Roman" w:cs="Times New Roman"/>
        </w:rPr>
        <w:t>,</w:t>
      </w:r>
      <w:r w:rsidRPr="00CE0968">
        <w:rPr>
          <w:rFonts w:ascii="Times New Roman" w:hAnsi="Times New Roman" w:cs="Times New Roman"/>
          <w:i/>
          <w:iCs/>
        </w:rPr>
        <w:t> 14</w:t>
      </w:r>
      <w:r w:rsidRPr="00CE0968">
        <w:rPr>
          <w:rFonts w:ascii="Times New Roman" w:hAnsi="Times New Roman" w:cs="Times New Roman"/>
        </w:rPr>
        <w:t>(3), 424-449.</w:t>
      </w:r>
    </w:p>
    <w:p w14:paraId="4C12099D"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Charmaz, Kathy (1983). The grounded theory method: An explication and interpretation. In Robert M. Emerson (Ed.), </w:t>
      </w:r>
      <w:r w:rsidRPr="00CE0968">
        <w:rPr>
          <w:rFonts w:ascii="Times New Roman" w:hAnsi="Times New Roman" w:cs="Times New Roman"/>
          <w:i/>
          <w:iCs/>
        </w:rPr>
        <w:t>Contemporary field research: A collection of readings</w:t>
      </w:r>
      <w:r w:rsidRPr="00CE0968">
        <w:rPr>
          <w:rFonts w:ascii="Times New Roman" w:hAnsi="Times New Roman" w:cs="Times New Roman"/>
        </w:rPr>
        <w:t> (pp.109-125). Prospect Heights, IL: Waveland.</w:t>
      </w:r>
    </w:p>
    <w:p w14:paraId="6B07B010"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Clifford, James. 1983. On ethnographic authority. </w:t>
      </w:r>
      <w:r w:rsidRPr="00CE0968">
        <w:rPr>
          <w:rFonts w:ascii="Times New Roman" w:hAnsi="Times New Roman" w:cs="Times New Roman"/>
          <w:i/>
        </w:rPr>
        <w:t>Representations 1</w:t>
      </w:r>
      <w:r w:rsidRPr="00CE0968">
        <w:rPr>
          <w:rFonts w:ascii="Times New Roman" w:hAnsi="Times New Roman" w:cs="Times New Roman"/>
        </w:rPr>
        <w:t>(2):118–46.</w:t>
      </w:r>
    </w:p>
    <w:p w14:paraId="20FA4276"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Conquergood</w:t>
      </w:r>
      <w:proofErr w:type="spellEnd"/>
      <w:r w:rsidRPr="00CE0968">
        <w:rPr>
          <w:rFonts w:ascii="Times New Roman" w:hAnsi="Times New Roman" w:cs="Times New Roman"/>
        </w:rPr>
        <w:t>, Dwight (1991). Rethinking ethnography: Towards a critical cultural politics. </w:t>
      </w:r>
      <w:r w:rsidRPr="00CE0968">
        <w:rPr>
          <w:rFonts w:ascii="Times New Roman" w:hAnsi="Times New Roman" w:cs="Times New Roman"/>
          <w:i/>
          <w:iCs/>
        </w:rPr>
        <w:t>Communication Monographs</w:t>
      </w:r>
      <w:r w:rsidRPr="00CE0968">
        <w:rPr>
          <w:rFonts w:ascii="Times New Roman" w:hAnsi="Times New Roman" w:cs="Times New Roman"/>
        </w:rPr>
        <w:t>,</w:t>
      </w:r>
      <w:r w:rsidRPr="00CE0968">
        <w:rPr>
          <w:rFonts w:ascii="Times New Roman" w:hAnsi="Times New Roman" w:cs="Times New Roman"/>
          <w:i/>
          <w:iCs/>
        </w:rPr>
        <w:t> 58</w:t>
      </w:r>
      <w:r w:rsidRPr="00CE0968">
        <w:rPr>
          <w:rFonts w:ascii="Times New Roman" w:hAnsi="Times New Roman" w:cs="Times New Roman"/>
        </w:rPr>
        <w:t>, 179-194.</w:t>
      </w:r>
    </w:p>
    <w:p w14:paraId="3BD46B08"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Corey, Frederick C. (1996). Performing sexualities in an Irish pub. </w:t>
      </w:r>
      <w:r w:rsidRPr="00CE0968">
        <w:rPr>
          <w:rFonts w:ascii="Times New Roman" w:hAnsi="Times New Roman" w:cs="Times New Roman"/>
          <w:i/>
          <w:iCs/>
        </w:rPr>
        <w:t>Text and Performance Quarterly</w:t>
      </w:r>
      <w:r w:rsidRPr="00CE0968">
        <w:rPr>
          <w:rFonts w:ascii="Times New Roman" w:hAnsi="Times New Roman" w:cs="Times New Roman"/>
        </w:rPr>
        <w:t>,</w:t>
      </w:r>
      <w:r w:rsidRPr="00CE0968">
        <w:rPr>
          <w:rFonts w:ascii="Times New Roman" w:hAnsi="Times New Roman" w:cs="Times New Roman"/>
          <w:i/>
          <w:iCs/>
        </w:rPr>
        <w:t> 16</w:t>
      </w:r>
      <w:r w:rsidRPr="00CE0968">
        <w:rPr>
          <w:rFonts w:ascii="Times New Roman" w:hAnsi="Times New Roman" w:cs="Times New Roman"/>
        </w:rPr>
        <w:t>(2), 146-160.</w:t>
      </w:r>
    </w:p>
    <w:p w14:paraId="5F1AD44B"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Couser</w:t>
      </w:r>
      <w:proofErr w:type="spellEnd"/>
      <w:r w:rsidRPr="00CE0968">
        <w:rPr>
          <w:rFonts w:ascii="Times New Roman" w:hAnsi="Times New Roman" w:cs="Times New Roman"/>
        </w:rPr>
        <w:t>, G. Thomas (1997). </w:t>
      </w:r>
      <w:r w:rsidRPr="00CE0968">
        <w:rPr>
          <w:rFonts w:ascii="Times New Roman" w:hAnsi="Times New Roman" w:cs="Times New Roman"/>
          <w:i/>
          <w:iCs/>
        </w:rPr>
        <w:t>Recovering bodies: Illness, disability, and life writing</w:t>
      </w:r>
      <w:r w:rsidRPr="00CE0968">
        <w:rPr>
          <w:rFonts w:ascii="Times New Roman" w:hAnsi="Times New Roman" w:cs="Times New Roman"/>
        </w:rPr>
        <w:t>. Madison: University of Wisconsin Press.</w:t>
      </w:r>
    </w:p>
    <w:p w14:paraId="234F188A"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 xml:space="preserve">Crawley, Sara L. (2002). "They still don't understand why I hate wearing dresses!" An autoethnographic rant on dresses, boats, and </w:t>
      </w:r>
      <w:proofErr w:type="spellStart"/>
      <w:r w:rsidRPr="00CE0968">
        <w:rPr>
          <w:rFonts w:ascii="Times New Roman" w:hAnsi="Times New Roman" w:cs="Times New Roman"/>
        </w:rPr>
        <w:t>butchness</w:t>
      </w:r>
      <w:proofErr w:type="spellEnd"/>
      <w:r w:rsidRPr="00CE0968">
        <w:rPr>
          <w:rFonts w:ascii="Times New Roman" w:hAnsi="Times New Roman" w:cs="Times New Roman"/>
        </w:rPr>
        <w:t>. </w:t>
      </w:r>
      <w:r w:rsidRPr="00CE0968">
        <w:rPr>
          <w:rFonts w:ascii="Times New Roman" w:hAnsi="Times New Roman" w:cs="Times New Roman"/>
          <w:i/>
          <w:iCs/>
        </w:rPr>
        <w:t>Cultural Studies ↔ Critical Methodologies</w:t>
      </w:r>
      <w:r w:rsidRPr="00CE0968">
        <w:rPr>
          <w:rFonts w:ascii="Times New Roman" w:hAnsi="Times New Roman" w:cs="Times New Roman"/>
        </w:rPr>
        <w:t>,</w:t>
      </w:r>
      <w:r w:rsidRPr="00CE0968">
        <w:rPr>
          <w:rFonts w:ascii="Times New Roman" w:hAnsi="Times New Roman" w:cs="Times New Roman"/>
          <w:i/>
          <w:iCs/>
        </w:rPr>
        <w:t> 2</w:t>
      </w:r>
      <w:r w:rsidRPr="00CE0968">
        <w:rPr>
          <w:rFonts w:ascii="Times New Roman" w:hAnsi="Times New Roman" w:cs="Times New Roman"/>
        </w:rPr>
        <w:t>(1), 69-92.</w:t>
      </w:r>
    </w:p>
    <w:p w14:paraId="2C6D3110"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Creswell, J. W. (1994). </w:t>
      </w:r>
      <w:r w:rsidRPr="00CE0968">
        <w:rPr>
          <w:rFonts w:ascii="Times New Roman" w:hAnsi="Times New Roman" w:cs="Times New Roman"/>
          <w:i/>
          <w:iCs/>
        </w:rPr>
        <w:t>Research design: Qualitative and quantitative approaches.</w:t>
      </w:r>
      <w:r w:rsidRPr="00CE0968">
        <w:rPr>
          <w:rFonts w:ascii="Times New Roman" w:hAnsi="Times New Roman" w:cs="Times New Roman"/>
        </w:rPr>
        <w:t xml:space="preserve"> Thousand Oaks, CA: Sage.</w:t>
      </w:r>
    </w:p>
    <w:p w14:paraId="73FFFEDD"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lastRenderedPageBreak/>
        <w:t>Davis, Amira M. (2009). What we tell our daughters and ourselves about "</w:t>
      </w:r>
      <w:proofErr w:type="spellStart"/>
      <w:r w:rsidRPr="00CE0968">
        <w:rPr>
          <w:rFonts w:ascii="Times New Roman" w:hAnsi="Times New Roman" w:cs="Times New Roman"/>
        </w:rPr>
        <w:t>ssshhh</w:t>
      </w:r>
      <w:proofErr w:type="spellEnd"/>
      <w:r w:rsidRPr="00CE0968">
        <w:rPr>
          <w:rFonts w:ascii="Times New Roman" w:hAnsi="Times New Roman" w:cs="Times New Roman"/>
        </w:rPr>
        <w:t>!!!!" hysterectomy.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15</w:t>
      </w:r>
      <w:r w:rsidRPr="00CE0968">
        <w:rPr>
          <w:rFonts w:ascii="Times New Roman" w:hAnsi="Times New Roman" w:cs="Times New Roman"/>
        </w:rPr>
        <w:t>(8), 1303-1337.</w:t>
      </w:r>
    </w:p>
    <w:p w14:paraId="3EE14C23"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de </w:t>
      </w:r>
      <w:proofErr w:type="spellStart"/>
      <w:r w:rsidRPr="00CE0968">
        <w:rPr>
          <w:rFonts w:ascii="Times New Roman" w:hAnsi="Times New Roman" w:cs="Times New Roman"/>
        </w:rPr>
        <w:t>Certeau</w:t>
      </w:r>
      <w:proofErr w:type="spellEnd"/>
      <w:r w:rsidRPr="00CE0968">
        <w:rPr>
          <w:rFonts w:ascii="Times New Roman" w:hAnsi="Times New Roman" w:cs="Times New Roman"/>
        </w:rPr>
        <w:t>, Michel (1984). </w:t>
      </w:r>
      <w:r w:rsidRPr="00CE0968">
        <w:rPr>
          <w:rFonts w:ascii="Times New Roman" w:hAnsi="Times New Roman" w:cs="Times New Roman"/>
          <w:i/>
          <w:iCs/>
        </w:rPr>
        <w:t>The practice of everyday life</w:t>
      </w:r>
      <w:r w:rsidRPr="00CE0968">
        <w:rPr>
          <w:rFonts w:ascii="Times New Roman" w:hAnsi="Times New Roman" w:cs="Times New Roman"/>
        </w:rPr>
        <w:t> (transl. by S. Rendall). Berkeley: University of California Press.</w:t>
      </w:r>
    </w:p>
    <w:p w14:paraId="6432AB43"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Delamont, Sara (2009). The only honest thing: Autoethnography, reflexivity and small crises in fieldwork. </w:t>
      </w:r>
      <w:r w:rsidRPr="00CE0968">
        <w:rPr>
          <w:rFonts w:ascii="Times New Roman" w:hAnsi="Times New Roman" w:cs="Times New Roman"/>
          <w:i/>
          <w:iCs/>
        </w:rPr>
        <w:t>Ethnography and Education</w:t>
      </w:r>
      <w:r w:rsidRPr="00CE0968">
        <w:rPr>
          <w:rFonts w:ascii="Times New Roman" w:hAnsi="Times New Roman" w:cs="Times New Roman"/>
        </w:rPr>
        <w:t>,</w:t>
      </w:r>
      <w:r w:rsidRPr="00CE0968">
        <w:rPr>
          <w:rFonts w:ascii="Times New Roman" w:hAnsi="Times New Roman" w:cs="Times New Roman"/>
          <w:i/>
          <w:iCs/>
        </w:rPr>
        <w:t> 4</w:t>
      </w:r>
      <w:r w:rsidRPr="00CE0968">
        <w:rPr>
          <w:rFonts w:ascii="Times New Roman" w:hAnsi="Times New Roman" w:cs="Times New Roman"/>
        </w:rPr>
        <w:t>(1), 51-63.</w:t>
      </w:r>
    </w:p>
    <w:p w14:paraId="06E10D4C"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Delany, Samuel R. (2004). </w:t>
      </w:r>
      <w:r w:rsidRPr="00CE0968">
        <w:rPr>
          <w:rFonts w:ascii="Times New Roman" w:hAnsi="Times New Roman" w:cs="Times New Roman"/>
          <w:i/>
          <w:iCs/>
        </w:rPr>
        <w:t>The motion of light in water</w:t>
      </w:r>
      <w:r w:rsidRPr="00CE0968">
        <w:rPr>
          <w:rFonts w:ascii="Times New Roman" w:hAnsi="Times New Roman" w:cs="Times New Roman"/>
        </w:rPr>
        <w:t>. Minneapolis: University of Minnesota Press.</w:t>
      </w:r>
    </w:p>
    <w:p w14:paraId="02C7DBEE"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Delpit</w:t>
      </w:r>
      <w:proofErr w:type="spellEnd"/>
      <w:r w:rsidRPr="00CE0968">
        <w:rPr>
          <w:rFonts w:ascii="Times New Roman" w:hAnsi="Times New Roman" w:cs="Times New Roman"/>
        </w:rPr>
        <w:t>, Lisa D. (1996). </w:t>
      </w:r>
      <w:r w:rsidRPr="00CE0968">
        <w:rPr>
          <w:rFonts w:ascii="Times New Roman" w:hAnsi="Times New Roman" w:cs="Times New Roman"/>
          <w:i/>
          <w:iCs/>
        </w:rPr>
        <w:t>Other people's children: Cultural conflict in the classroom</w:t>
      </w:r>
      <w:r w:rsidRPr="00CE0968">
        <w:rPr>
          <w:rFonts w:ascii="Times New Roman" w:hAnsi="Times New Roman" w:cs="Times New Roman"/>
        </w:rPr>
        <w:t>. New York: W.W. Norton.</w:t>
      </w:r>
    </w:p>
    <w:p w14:paraId="484CD93B"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Denzin, Norman K. &amp; Lincoln, </w:t>
      </w:r>
      <w:proofErr w:type="spellStart"/>
      <w:r w:rsidRPr="00CE0968">
        <w:rPr>
          <w:rFonts w:ascii="Times New Roman" w:hAnsi="Times New Roman" w:cs="Times New Roman"/>
        </w:rPr>
        <w:t>Yvonna</w:t>
      </w:r>
      <w:proofErr w:type="spellEnd"/>
      <w:r w:rsidRPr="00CE0968">
        <w:rPr>
          <w:rFonts w:ascii="Times New Roman" w:hAnsi="Times New Roman" w:cs="Times New Roman"/>
        </w:rPr>
        <w:t xml:space="preserve"> S. (2000). Introduction: The discipline and practice of qualitative research. In Norman K. Denzin &amp; </w:t>
      </w:r>
      <w:proofErr w:type="spellStart"/>
      <w:r w:rsidRPr="00CE0968">
        <w:rPr>
          <w:rFonts w:ascii="Times New Roman" w:hAnsi="Times New Roman" w:cs="Times New Roman"/>
        </w:rPr>
        <w:t>Yvonna</w:t>
      </w:r>
      <w:proofErr w:type="spellEnd"/>
      <w:r w:rsidRPr="00CE0968">
        <w:rPr>
          <w:rFonts w:ascii="Times New Roman" w:hAnsi="Times New Roman" w:cs="Times New Roman"/>
        </w:rPr>
        <w:t xml:space="preserve"> S. Lincoln (Eds.), </w:t>
      </w:r>
      <w:r w:rsidRPr="00CE0968">
        <w:rPr>
          <w:rFonts w:ascii="Times New Roman" w:hAnsi="Times New Roman" w:cs="Times New Roman"/>
          <w:i/>
          <w:iCs/>
        </w:rPr>
        <w:t>Handbook of qualitative research</w:t>
      </w:r>
      <w:r w:rsidRPr="00CE0968">
        <w:rPr>
          <w:rFonts w:ascii="Times New Roman" w:hAnsi="Times New Roman" w:cs="Times New Roman"/>
        </w:rPr>
        <w:t> (2nd ed., pp.1-28). Thousand Oaks, CA: Sage.</w:t>
      </w:r>
    </w:p>
    <w:p w14:paraId="473686E0"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Denzin, Norman K. (1989). </w:t>
      </w:r>
      <w:r w:rsidRPr="00CE0968">
        <w:rPr>
          <w:rFonts w:ascii="Times New Roman" w:hAnsi="Times New Roman" w:cs="Times New Roman"/>
          <w:i/>
          <w:iCs/>
        </w:rPr>
        <w:t>Interpretive biography</w:t>
      </w:r>
      <w:r w:rsidRPr="00CE0968">
        <w:rPr>
          <w:rFonts w:ascii="Times New Roman" w:hAnsi="Times New Roman" w:cs="Times New Roman"/>
        </w:rPr>
        <w:t>. Newbury Park, CA: Sage.</w:t>
      </w:r>
    </w:p>
    <w:p w14:paraId="11E11313"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Denzin, Norman K. (2004). The war on culture, the war on truth. </w:t>
      </w:r>
      <w:r w:rsidRPr="00CE0968">
        <w:rPr>
          <w:rFonts w:ascii="Times New Roman" w:hAnsi="Times New Roman" w:cs="Times New Roman"/>
          <w:i/>
          <w:iCs/>
        </w:rPr>
        <w:t>Cultural Studies &lt;=&gt; Critical Methodologies</w:t>
      </w:r>
      <w:r w:rsidRPr="00CE0968">
        <w:rPr>
          <w:rFonts w:ascii="Times New Roman" w:hAnsi="Times New Roman" w:cs="Times New Roman"/>
        </w:rPr>
        <w:t>,</w:t>
      </w:r>
      <w:r w:rsidRPr="00CE0968">
        <w:rPr>
          <w:rFonts w:ascii="Times New Roman" w:hAnsi="Times New Roman" w:cs="Times New Roman"/>
          <w:i/>
          <w:iCs/>
        </w:rPr>
        <w:t> 4</w:t>
      </w:r>
      <w:r w:rsidRPr="00CE0968">
        <w:rPr>
          <w:rFonts w:ascii="Times New Roman" w:hAnsi="Times New Roman" w:cs="Times New Roman"/>
        </w:rPr>
        <w:t>(2), 137-142.</w:t>
      </w:r>
    </w:p>
    <w:p w14:paraId="02A56F43"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Denzin, Norman K. (2006). Mother and Mickey. </w:t>
      </w:r>
      <w:r w:rsidRPr="00CE0968">
        <w:rPr>
          <w:rFonts w:ascii="Times New Roman" w:hAnsi="Times New Roman" w:cs="Times New Roman"/>
          <w:i/>
          <w:iCs/>
        </w:rPr>
        <w:t>The South Atlantic Quarterly</w:t>
      </w:r>
      <w:r w:rsidRPr="00CE0968">
        <w:rPr>
          <w:rFonts w:ascii="Times New Roman" w:hAnsi="Times New Roman" w:cs="Times New Roman"/>
        </w:rPr>
        <w:t>,</w:t>
      </w:r>
      <w:r w:rsidRPr="00CE0968">
        <w:rPr>
          <w:rFonts w:ascii="Times New Roman" w:hAnsi="Times New Roman" w:cs="Times New Roman"/>
          <w:i/>
          <w:iCs/>
        </w:rPr>
        <w:t> 105</w:t>
      </w:r>
      <w:r w:rsidRPr="00CE0968">
        <w:rPr>
          <w:rFonts w:ascii="Times New Roman" w:hAnsi="Times New Roman" w:cs="Times New Roman"/>
        </w:rPr>
        <w:t>(2), 391-395.</w:t>
      </w:r>
    </w:p>
    <w:p w14:paraId="1FAA0906"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Denzin, Norman K.; Lincoln, </w:t>
      </w:r>
      <w:proofErr w:type="spellStart"/>
      <w:r w:rsidRPr="00CE0968">
        <w:rPr>
          <w:rFonts w:ascii="Times New Roman" w:hAnsi="Times New Roman" w:cs="Times New Roman"/>
        </w:rPr>
        <w:t>Yvonna</w:t>
      </w:r>
      <w:proofErr w:type="spellEnd"/>
      <w:r w:rsidRPr="00CE0968">
        <w:rPr>
          <w:rFonts w:ascii="Times New Roman" w:hAnsi="Times New Roman" w:cs="Times New Roman"/>
        </w:rPr>
        <w:t xml:space="preserve"> S. &amp; Smith, Linda T. (Eds.) (2008). </w:t>
      </w:r>
      <w:r w:rsidRPr="00CE0968">
        <w:rPr>
          <w:rFonts w:ascii="Times New Roman" w:hAnsi="Times New Roman" w:cs="Times New Roman"/>
          <w:i/>
          <w:iCs/>
        </w:rPr>
        <w:t>Handbook of critical and indigenous methodologies</w:t>
      </w:r>
      <w:r w:rsidRPr="00CE0968">
        <w:rPr>
          <w:rFonts w:ascii="Times New Roman" w:hAnsi="Times New Roman" w:cs="Times New Roman"/>
        </w:rPr>
        <w:t>. Thousand Oaks, CA: Sage.</w:t>
      </w:r>
    </w:p>
    <w:p w14:paraId="5929010C"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Derrida, Jacques (1978). </w:t>
      </w:r>
      <w:r w:rsidRPr="00CE0968">
        <w:rPr>
          <w:rFonts w:ascii="Times New Roman" w:hAnsi="Times New Roman" w:cs="Times New Roman"/>
          <w:i/>
          <w:iCs/>
        </w:rPr>
        <w:t>Writing and difference</w:t>
      </w:r>
      <w:r w:rsidRPr="00CE0968">
        <w:rPr>
          <w:rFonts w:ascii="Times New Roman" w:hAnsi="Times New Roman" w:cs="Times New Roman"/>
        </w:rPr>
        <w:t> (transl. by A. Bass). Chicago: University of Chicago Press.</w:t>
      </w:r>
    </w:p>
    <w:p w14:paraId="151A2059"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Didion, Joan (2005). </w:t>
      </w:r>
      <w:r w:rsidRPr="00CE0968">
        <w:rPr>
          <w:rFonts w:ascii="Times New Roman" w:hAnsi="Times New Roman" w:cs="Times New Roman"/>
          <w:i/>
          <w:iCs/>
        </w:rPr>
        <w:t>The year of magical thinking</w:t>
      </w:r>
      <w:r w:rsidRPr="00CE0968">
        <w:rPr>
          <w:rFonts w:ascii="Times New Roman" w:hAnsi="Times New Roman" w:cs="Times New Roman"/>
        </w:rPr>
        <w:t>. New York: A.A. Knopf.</w:t>
      </w:r>
    </w:p>
    <w:p w14:paraId="2657BAE5"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Dossa</w:t>
      </w:r>
      <w:proofErr w:type="spellEnd"/>
      <w:r w:rsidRPr="00CE0968">
        <w:rPr>
          <w:rFonts w:ascii="Times New Roman" w:hAnsi="Times New Roman" w:cs="Times New Roman"/>
        </w:rPr>
        <w:t xml:space="preserve">, </w:t>
      </w:r>
      <w:proofErr w:type="spellStart"/>
      <w:r w:rsidRPr="00CE0968">
        <w:rPr>
          <w:rFonts w:ascii="Times New Roman" w:hAnsi="Times New Roman" w:cs="Times New Roman"/>
        </w:rPr>
        <w:t>Parin</w:t>
      </w:r>
      <w:proofErr w:type="spellEnd"/>
      <w:r w:rsidRPr="00CE0968">
        <w:rPr>
          <w:rFonts w:ascii="Times New Roman" w:hAnsi="Times New Roman" w:cs="Times New Roman"/>
        </w:rPr>
        <w:t xml:space="preserve"> A. (1999). (Re)imagining aging lives: Ethnographic narratives of Muslim women in diaspora. </w:t>
      </w:r>
      <w:r w:rsidRPr="00CE0968">
        <w:rPr>
          <w:rFonts w:ascii="Times New Roman" w:hAnsi="Times New Roman" w:cs="Times New Roman"/>
          <w:i/>
          <w:iCs/>
        </w:rPr>
        <w:t>Journal of Cross-Cultural Gerontology</w:t>
      </w:r>
      <w:r w:rsidRPr="00CE0968">
        <w:rPr>
          <w:rFonts w:ascii="Times New Roman" w:hAnsi="Times New Roman" w:cs="Times New Roman"/>
        </w:rPr>
        <w:t>,</w:t>
      </w:r>
      <w:r w:rsidRPr="00CE0968">
        <w:rPr>
          <w:rFonts w:ascii="Times New Roman" w:hAnsi="Times New Roman" w:cs="Times New Roman"/>
          <w:i/>
          <w:iCs/>
        </w:rPr>
        <w:t> 14</w:t>
      </w:r>
      <w:r w:rsidRPr="00CE0968">
        <w:rPr>
          <w:rFonts w:ascii="Times New Roman" w:hAnsi="Times New Roman" w:cs="Times New Roman"/>
        </w:rPr>
        <w:t>(3), 245-272.</w:t>
      </w:r>
    </w:p>
    <w:p w14:paraId="0EA99E63" w14:textId="77777777" w:rsidR="00D91945" w:rsidRDefault="00D91945" w:rsidP="00D91945">
      <w:pPr>
        <w:ind w:hanging="720"/>
        <w:rPr>
          <w:rFonts w:ascii="Times New Roman" w:hAnsi="Times New Roman" w:cs="Times New Roman"/>
        </w:rPr>
      </w:pPr>
      <w:proofErr w:type="spellStart"/>
      <w:r w:rsidRPr="00CE0968">
        <w:rPr>
          <w:rFonts w:ascii="Times New Roman" w:hAnsi="Times New Roman" w:cs="Times New Roman"/>
        </w:rPr>
        <w:t>Droogsma</w:t>
      </w:r>
      <w:proofErr w:type="spellEnd"/>
      <w:r w:rsidRPr="00CE0968">
        <w:rPr>
          <w:rFonts w:ascii="Times New Roman" w:hAnsi="Times New Roman" w:cs="Times New Roman"/>
        </w:rPr>
        <w:t>, Rachel A. (2007). Redefining Hijab: American Muslim women's standpoints on veiling. </w:t>
      </w:r>
      <w:r w:rsidRPr="00CE0968">
        <w:rPr>
          <w:rFonts w:ascii="Times New Roman" w:hAnsi="Times New Roman" w:cs="Times New Roman"/>
          <w:i/>
          <w:iCs/>
        </w:rPr>
        <w:t>Journal of Applied Communication Research</w:t>
      </w:r>
      <w:r w:rsidRPr="00CE0968">
        <w:rPr>
          <w:rFonts w:ascii="Times New Roman" w:hAnsi="Times New Roman" w:cs="Times New Roman"/>
        </w:rPr>
        <w:t>,</w:t>
      </w:r>
      <w:r w:rsidRPr="00CE0968">
        <w:rPr>
          <w:rFonts w:ascii="Times New Roman" w:hAnsi="Times New Roman" w:cs="Times New Roman"/>
          <w:i/>
          <w:iCs/>
        </w:rPr>
        <w:t> 35</w:t>
      </w:r>
      <w:r w:rsidRPr="00CE0968">
        <w:rPr>
          <w:rFonts w:ascii="Times New Roman" w:hAnsi="Times New Roman" w:cs="Times New Roman"/>
        </w:rPr>
        <w:t>(3), 294-319.</w:t>
      </w:r>
    </w:p>
    <w:p w14:paraId="1C2E027A"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Duneier, Mitchell. 1999. </w:t>
      </w:r>
      <w:r w:rsidRPr="00CE0968">
        <w:rPr>
          <w:rFonts w:ascii="Times New Roman" w:hAnsi="Times New Roman" w:cs="Times New Roman"/>
          <w:i/>
        </w:rPr>
        <w:t xml:space="preserve">Sidewalk. </w:t>
      </w:r>
      <w:r w:rsidRPr="00CE0968">
        <w:rPr>
          <w:rFonts w:ascii="Times New Roman" w:hAnsi="Times New Roman" w:cs="Times New Roman"/>
        </w:rPr>
        <w:t>New York: Farrar, Straus and Giroux.</w:t>
      </w:r>
    </w:p>
    <w:p w14:paraId="2C21B2E0"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Dykins</w:t>
      </w:r>
      <w:proofErr w:type="spellEnd"/>
      <w:r w:rsidRPr="00CE0968">
        <w:rPr>
          <w:rFonts w:ascii="Times New Roman" w:hAnsi="Times New Roman" w:cs="Times New Roman"/>
        </w:rPr>
        <w:t xml:space="preserve"> Callahan, Sara B. (2008). Academic outings. </w:t>
      </w:r>
      <w:r w:rsidRPr="00CE0968">
        <w:rPr>
          <w:rFonts w:ascii="Times New Roman" w:hAnsi="Times New Roman" w:cs="Times New Roman"/>
          <w:i/>
          <w:iCs/>
        </w:rPr>
        <w:t>Symbolic Interaction</w:t>
      </w:r>
      <w:r w:rsidRPr="00CE0968">
        <w:rPr>
          <w:rFonts w:ascii="Times New Roman" w:hAnsi="Times New Roman" w:cs="Times New Roman"/>
        </w:rPr>
        <w:t>,</w:t>
      </w:r>
      <w:r w:rsidRPr="00CE0968">
        <w:rPr>
          <w:rFonts w:ascii="Times New Roman" w:hAnsi="Times New Roman" w:cs="Times New Roman"/>
          <w:i/>
          <w:iCs/>
        </w:rPr>
        <w:t> 31</w:t>
      </w:r>
      <w:r w:rsidRPr="00CE0968">
        <w:rPr>
          <w:rFonts w:ascii="Times New Roman" w:hAnsi="Times New Roman" w:cs="Times New Roman"/>
        </w:rPr>
        <w:t>(4), 351-375.</w:t>
      </w:r>
    </w:p>
    <w:p w14:paraId="23D809D4"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Ellis, Carolyn &amp; </w:t>
      </w:r>
      <w:proofErr w:type="spellStart"/>
      <w:r w:rsidRPr="00CE0968">
        <w:rPr>
          <w:rFonts w:ascii="Times New Roman" w:hAnsi="Times New Roman" w:cs="Times New Roman"/>
        </w:rPr>
        <w:t>Bochner</w:t>
      </w:r>
      <w:proofErr w:type="spellEnd"/>
      <w:r w:rsidRPr="00CE0968">
        <w:rPr>
          <w:rFonts w:ascii="Times New Roman" w:hAnsi="Times New Roman" w:cs="Times New Roman"/>
        </w:rPr>
        <w:t xml:space="preserve">, Arthur P. (2000). Autoethnography, personal narrative, reflexivity. In Norman K. Denzin &amp; </w:t>
      </w:r>
      <w:proofErr w:type="spellStart"/>
      <w:r w:rsidRPr="00CE0968">
        <w:rPr>
          <w:rFonts w:ascii="Times New Roman" w:hAnsi="Times New Roman" w:cs="Times New Roman"/>
        </w:rPr>
        <w:t>Yvonna</w:t>
      </w:r>
      <w:proofErr w:type="spellEnd"/>
      <w:r w:rsidRPr="00CE0968">
        <w:rPr>
          <w:rFonts w:ascii="Times New Roman" w:hAnsi="Times New Roman" w:cs="Times New Roman"/>
        </w:rPr>
        <w:t xml:space="preserve"> S. Lincoln (Eds.), </w:t>
      </w:r>
      <w:r w:rsidRPr="00CE0968">
        <w:rPr>
          <w:rFonts w:ascii="Times New Roman" w:hAnsi="Times New Roman" w:cs="Times New Roman"/>
          <w:i/>
          <w:iCs/>
        </w:rPr>
        <w:t>Handbook of qualitative research</w:t>
      </w:r>
      <w:r w:rsidRPr="00CE0968">
        <w:rPr>
          <w:rFonts w:ascii="Times New Roman" w:hAnsi="Times New Roman" w:cs="Times New Roman"/>
        </w:rPr>
        <w:t> (2nd ed., pp.733-768). Thousand Oaks, CA: Sage.</w:t>
      </w:r>
    </w:p>
    <w:p w14:paraId="31FDC450"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Ellis, Carolyn &amp; </w:t>
      </w:r>
      <w:proofErr w:type="spellStart"/>
      <w:r w:rsidRPr="00CE0968">
        <w:rPr>
          <w:rFonts w:ascii="Times New Roman" w:hAnsi="Times New Roman" w:cs="Times New Roman"/>
        </w:rPr>
        <w:t>Bochner</w:t>
      </w:r>
      <w:proofErr w:type="spellEnd"/>
      <w:r w:rsidRPr="00CE0968">
        <w:rPr>
          <w:rFonts w:ascii="Times New Roman" w:hAnsi="Times New Roman" w:cs="Times New Roman"/>
        </w:rPr>
        <w:t>, Arthur P. (2006). Analyzing analytic autoethnography: An autopsy. </w:t>
      </w:r>
      <w:r w:rsidRPr="00CE0968">
        <w:rPr>
          <w:rFonts w:ascii="Times New Roman" w:hAnsi="Times New Roman" w:cs="Times New Roman"/>
          <w:i/>
          <w:iCs/>
        </w:rPr>
        <w:t>Journal of Contemporary Ethnography</w:t>
      </w:r>
      <w:r w:rsidRPr="00CE0968">
        <w:rPr>
          <w:rFonts w:ascii="Times New Roman" w:hAnsi="Times New Roman" w:cs="Times New Roman"/>
        </w:rPr>
        <w:t>,</w:t>
      </w:r>
      <w:r w:rsidRPr="00CE0968">
        <w:rPr>
          <w:rFonts w:ascii="Times New Roman" w:hAnsi="Times New Roman" w:cs="Times New Roman"/>
          <w:i/>
          <w:iCs/>
        </w:rPr>
        <w:t> 35</w:t>
      </w:r>
      <w:r w:rsidRPr="00CE0968">
        <w:rPr>
          <w:rFonts w:ascii="Times New Roman" w:hAnsi="Times New Roman" w:cs="Times New Roman"/>
        </w:rPr>
        <w:t>(4), 429-449.</w:t>
      </w:r>
    </w:p>
    <w:p w14:paraId="6F60F0AD"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Ellis, Carolyn &amp; Ellingson, Laura (2000). Qualitative methods. In Edgar </w:t>
      </w:r>
      <w:proofErr w:type="spellStart"/>
      <w:r w:rsidRPr="00CE0968">
        <w:rPr>
          <w:rFonts w:ascii="Times New Roman" w:hAnsi="Times New Roman" w:cs="Times New Roman"/>
        </w:rPr>
        <w:t>Borgatta</w:t>
      </w:r>
      <w:proofErr w:type="spellEnd"/>
      <w:r w:rsidRPr="00CE0968">
        <w:rPr>
          <w:rFonts w:ascii="Times New Roman" w:hAnsi="Times New Roman" w:cs="Times New Roman"/>
        </w:rPr>
        <w:t xml:space="preserve"> &amp; Rhonda Montgomery (Eds.), </w:t>
      </w:r>
      <w:r w:rsidRPr="00CE0968">
        <w:rPr>
          <w:rFonts w:ascii="Times New Roman" w:hAnsi="Times New Roman" w:cs="Times New Roman"/>
          <w:i/>
          <w:iCs/>
        </w:rPr>
        <w:t>Encyclopedia of sociology</w:t>
      </w:r>
      <w:r w:rsidRPr="00CE0968">
        <w:rPr>
          <w:rFonts w:ascii="Times New Roman" w:hAnsi="Times New Roman" w:cs="Times New Roman"/>
        </w:rPr>
        <w:t> (pp.2287-2296). New York: Macmillan.</w:t>
      </w:r>
    </w:p>
    <w:p w14:paraId="74FDFEDA"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Ellis, Carolyn (1986). </w:t>
      </w:r>
      <w:r w:rsidRPr="00CE0968">
        <w:rPr>
          <w:rFonts w:ascii="Times New Roman" w:hAnsi="Times New Roman" w:cs="Times New Roman"/>
          <w:i/>
          <w:iCs/>
        </w:rPr>
        <w:t>Fisher folk: Two communities on Chesapeake Bay</w:t>
      </w:r>
      <w:r w:rsidRPr="00CE0968">
        <w:rPr>
          <w:rFonts w:ascii="Times New Roman" w:hAnsi="Times New Roman" w:cs="Times New Roman"/>
        </w:rPr>
        <w:t>. Lexington: University Press of Kentucky.</w:t>
      </w:r>
    </w:p>
    <w:p w14:paraId="4F26E183"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Ellis, Carolyn (1991). Sociological introspection and emotional experience. </w:t>
      </w:r>
      <w:r w:rsidRPr="00CE0968">
        <w:rPr>
          <w:rFonts w:ascii="Times New Roman" w:hAnsi="Times New Roman" w:cs="Times New Roman"/>
          <w:i/>
          <w:iCs/>
        </w:rPr>
        <w:t>Symbolic Interaction</w:t>
      </w:r>
      <w:r w:rsidRPr="00CE0968">
        <w:rPr>
          <w:rFonts w:ascii="Times New Roman" w:hAnsi="Times New Roman" w:cs="Times New Roman"/>
        </w:rPr>
        <w:t>, </w:t>
      </w:r>
      <w:r w:rsidRPr="00CE0968">
        <w:rPr>
          <w:rFonts w:ascii="Times New Roman" w:hAnsi="Times New Roman" w:cs="Times New Roman"/>
          <w:i/>
          <w:iCs/>
        </w:rPr>
        <w:t>14</w:t>
      </w:r>
      <w:r w:rsidRPr="00CE0968">
        <w:rPr>
          <w:rFonts w:ascii="Times New Roman" w:hAnsi="Times New Roman" w:cs="Times New Roman"/>
        </w:rPr>
        <w:t>(1), 23-50.</w:t>
      </w:r>
    </w:p>
    <w:p w14:paraId="21A64339"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Ellis, Carolyn (1993). "There are survivors": Telling a story of a sudden death. </w:t>
      </w:r>
      <w:r w:rsidRPr="00CE0968">
        <w:rPr>
          <w:rFonts w:ascii="Times New Roman" w:hAnsi="Times New Roman" w:cs="Times New Roman"/>
          <w:i/>
          <w:iCs/>
        </w:rPr>
        <w:t>The Sociological Quarterly</w:t>
      </w:r>
      <w:r w:rsidRPr="00CE0968">
        <w:rPr>
          <w:rFonts w:ascii="Times New Roman" w:hAnsi="Times New Roman" w:cs="Times New Roman"/>
        </w:rPr>
        <w:t>,</w:t>
      </w:r>
      <w:r w:rsidRPr="00CE0968">
        <w:rPr>
          <w:rFonts w:ascii="Times New Roman" w:hAnsi="Times New Roman" w:cs="Times New Roman"/>
          <w:i/>
          <w:iCs/>
        </w:rPr>
        <w:t> 34</w:t>
      </w:r>
      <w:r w:rsidRPr="00CE0968">
        <w:rPr>
          <w:rFonts w:ascii="Times New Roman" w:hAnsi="Times New Roman" w:cs="Times New Roman"/>
        </w:rPr>
        <w:t>(4), 711-730.</w:t>
      </w:r>
    </w:p>
    <w:p w14:paraId="026D9304"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Ellis, Carolyn (1995). </w:t>
      </w:r>
      <w:r w:rsidRPr="00CE0968">
        <w:rPr>
          <w:rFonts w:ascii="Times New Roman" w:hAnsi="Times New Roman" w:cs="Times New Roman"/>
          <w:i/>
          <w:iCs/>
        </w:rPr>
        <w:t>Final negotiations: A story of love, loss, and chronic illness</w:t>
      </w:r>
      <w:r w:rsidRPr="00CE0968">
        <w:rPr>
          <w:rFonts w:ascii="Times New Roman" w:hAnsi="Times New Roman" w:cs="Times New Roman"/>
        </w:rPr>
        <w:t>. Philadelphia: Temple University Press.</w:t>
      </w:r>
    </w:p>
    <w:p w14:paraId="40ADA17F"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Ellis, Carolyn (2002a). Shattered lives: Making sense of September 11th and its aftermath. </w:t>
      </w:r>
      <w:r w:rsidRPr="00CE0968">
        <w:rPr>
          <w:rFonts w:ascii="Times New Roman" w:hAnsi="Times New Roman" w:cs="Times New Roman"/>
          <w:i/>
          <w:iCs/>
        </w:rPr>
        <w:t>Journal of Contemporary Ethnography</w:t>
      </w:r>
      <w:r w:rsidRPr="00CE0968">
        <w:rPr>
          <w:rFonts w:ascii="Times New Roman" w:hAnsi="Times New Roman" w:cs="Times New Roman"/>
        </w:rPr>
        <w:t>,</w:t>
      </w:r>
      <w:r w:rsidRPr="00CE0968">
        <w:rPr>
          <w:rFonts w:ascii="Times New Roman" w:hAnsi="Times New Roman" w:cs="Times New Roman"/>
          <w:i/>
          <w:iCs/>
        </w:rPr>
        <w:t> 31</w:t>
      </w:r>
      <w:r w:rsidRPr="00CE0968">
        <w:rPr>
          <w:rFonts w:ascii="Times New Roman" w:hAnsi="Times New Roman" w:cs="Times New Roman"/>
        </w:rPr>
        <w:t>(4), 375-410.</w:t>
      </w:r>
    </w:p>
    <w:p w14:paraId="601962F3"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Ellis, Carolyn (2002b). Being real: Moving inward toward social change. </w:t>
      </w:r>
      <w:r w:rsidRPr="00CE0968">
        <w:rPr>
          <w:rFonts w:ascii="Times New Roman" w:hAnsi="Times New Roman" w:cs="Times New Roman"/>
          <w:i/>
          <w:iCs/>
        </w:rPr>
        <w:t>Qualitative Studies in Education</w:t>
      </w:r>
      <w:r w:rsidRPr="00CE0968">
        <w:rPr>
          <w:rFonts w:ascii="Times New Roman" w:hAnsi="Times New Roman" w:cs="Times New Roman"/>
        </w:rPr>
        <w:t>,</w:t>
      </w:r>
      <w:r w:rsidRPr="00CE0968">
        <w:rPr>
          <w:rFonts w:ascii="Times New Roman" w:hAnsi="Times New Roman" w:cs="Times New Roman"/>
          <w:i/>
          <w:iCs/>
        </w:rPr>
        <w:t> 15</w:t>
      </w:r>
      <w:r w:rsidRPr="00CE0968">
        <w:rPr>
          <w:rFonts w:ascii="Times New Roman" w:hAnsi="Times New Roman" w:cs="Times New Roman"/>
        </w:rPr>
        <w:t>(4), 399-406.</w:t>
      </w:r>
    </w:p>
    <w:p w14:paraId="48F5DEA4"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lastRenderedPageBreak/>
        <w:t>Ellis, Carolyn (2004). </w:t>
      </w:r>
      <w:r w:rsidRPr="00CE0968">
        <w:rPr>
          <w:rFonts w:ascii="Times New Roman" w:hAnsi="Times New Roman" w:cs="Times New Roman"/>
          <w:i/>
          <w:iCs/>
        </w:rPr>
        <w:t>The ethnographic I: A methodological novel about autoethnography</w:t>
      </w:r>
      <w:r w:rsidRPr="00CE0968">
        <w:rPr>
          <w:rFonts w:ascii="Times New Roman" w:hAnsi="Times New Roman" w:cs="Times New Roman"/>
        </w:rPr>
        <w:t xml:space="preserve">. Walnut Creek, CA: </w:t>
      </w:r>
      <w:proofErr w:type="spellStart"/>
      <w:r w:rsidRPr="00CE0968">
        <w:rPr>
          <w:rFonts w:ascii="Times New Roman" w:hAnsi="Times New Roman" w:cs="Times New Roman"/>
        </w:rPr>
        <w:t>AltaMira</w:t>
      </w:r>
      <w:proofErr w:type="spellEnd"/>
      <w:r w:rsidRPr="00CE0968">
        <w:rPr>
          <w:rFonts w:ascii="Times New Roman" w:hAnsi="Times New Roman" w:cs="Times New Roman"/>
        </w:rPr>
        <w:t xml:space="preserve"> Press.</w:t>
      </w:r>
    </w:p>
    <w:p w14:paraId="1B6B15AB"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Ellis, Carolyn (2007). Telling secrets, revealing lives: Relational ethics in research with intimate others.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13</w:t>
      </w:r>
      <w:r w:rsidRPr="00CE0968">
        <w:rPr>
          <w:rFonts w:ascii="Times New Roman" w:hAnsi="Times New Roman" w:cs="Times New Roman"/>
        </w:rPr>
        <w:t>(1), 3-29.</w:t>
      </w:r>
    </w:p>
    <w:p w14:paraId="762AFDA9"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Ellis, Carolyn (2009). Telling tales on neighbors: Ethics in two voices. </w:t>
      </w:r>
      <w:r w:rsidRPr="00CE0968">
        <w:rPr>
          <w:rFonts w:ascii="Times New Roman" w:hAnsi="Times New Roman" w:cs="Times New Roman"/>
          <w:i/>
          <w:iCs/>
        </w:rPr>
        <w:t>International Review of Qualitative Research</w:t>
      </w:r>
      <w:r w:rsidRPr="00CE0968">
        <w:rPr>
          <w:rFonts w:ascii="Times New Roman" w:hAnsi="Times New Roman" w:cs="Times New Roman"/>
        </w:rPr>
        <w:t>,</w:t>
      </w:r>
      <w:r w:rsidRPr="00CE0968">
        <w:rPr>
          <w:rFonts w:ascii="Times New Roman" w:hAnsi="Times New Roman" w:cs="Times New Roman"/>
          <w:i/>
          <w:iCs/>
        </w:rPr>
        <w:t> 2</w:t>
      </w:r>
      <w:r w:rsidRPr="00CE0968">
        <w:rPr>
          <w:rFonts w:ascii="Times New Roman" w:hAnsi="Times New Roman" w:cs="Times New Roman"/>
        </w:rPr>
        <w:t>(1), 3-28.</w:t>
      </w:r>
    </w:p>
    <w:p w14:paraId="6A52339A" w14:textId="77777777" w:rsidR="00D91945" w:rsidRPr="00CE0968" w:rsidRDefault="00D91945" w:rsidP="00D91945">
      <w:pPr>
        <w:ind w:hanging="720"/>
        <w:rPr>
          <w:rFonts w:ascii="Times New Roman" w:hAnsi="Times New Roman" w:cs="Times New Roman"/>
          <w:lang w:val="en"/>
        </w:rPr>
      </w:pPr>
      <w:r w:rsidRPr="00CE0968">
        <w:rPr>
          <w:rFonts w:ascii="Times New Roman" w:hAnsi="Times New Roman" w:cs="Times New Roman"/>
          <w:lang w:val="en"/>
        </w:rPr>
        <w:t xml:space="preserve">Ellis, Carolyn; Adams, Tony E. &amp; </w:t>
      </w:r>
      <w:proofErr w:type="spellStart"/>
      <w:r w:rsidRPr="00CE0968">
        <w:rPr>
          <w:rFonts w:ascii="Times New Roman" w:hAnsi="Times New Roman" w:cs="Times New Roman"/>
          <w:lang w:val="en"/>
        </w:rPr>
        <w:t>Bochner</w:t>
      </w:r>
      <w:proofErr w:type="spellEnd"/>
      <w:r w:rsidRPr="00CE0968">
        <w:rPr>
          <w:rFonts w:ascii="Times New Roman" w:hAnsi="Times New Roman" w:cs="Times New Roman"/>
          <w:lang w:val="en"/>
        </w:rPr>
        <w:t xml:space="preserve">, Arthur P. (2010). Autoethnography: An Overview [40 paragraphs]. Forum Qualitative </w:t>
      </w:r>
      <w:proofErr w:type="spellStart"/>
      <w:r w:rsidRPr="00CE0968">
        <w:rPr>
          <w:rFonts w:ascii="Times New Roman" w:hAnsi="Times New Roman" w:cs="Times New Roman"/>
          <w:lang w:val="en"/>
        </w:rPr>
        <w:t>Sozialforschung</w:t>
      </w:r>
      <w:proofErr w:type="spellEnd"/>
      <w:r w:rsidRPr="00CE0968">
        <w:rPr>
          <w:rFonts w:ascii="Times New Roman" w:hAnsi="Times New Roman" w:cs="Times New Roman"/>
          <w:lang w:val="en"/>
        </w:rPr>
        <w:t xml:space="preserve"> / Forum: Qualitative Social Research, 12(1), Art. 10, </w:t>
      </w:r>
      <w:hyperlink r:id="rId86">
        <w:r w:rsidRPr="00CE0968">
          <w:rPr>
            <w:rStyle w:val="Hyperlink"/>
            <w:rFonts w:ascii="Times New Roman" w:hAnsi="Times New Roman" w:cs="Times New Roman"/>
            <w:lang w:val="en"/>
          </w:rPr>
          <w:t>http://nbn-resolving.de/urn:nbn:de:0114-fqs1101108</w:t>
        </w:r>
      </w:hyperlink>
      <w:r w:rsidRPr="00CE0968">
        <w:rPr>
          <w:rFonts w:ascii="Times New Roman" w:hAnsi="Times New Roman" w:cs="Times New Roman"/>
          <w:lang w:val="en"/>
        </w:rPr>
        <w:t xml:space="preserve"> )</w:t>
      </w:r>
    </w:p>
    <w:p w14:paraId="6E929AD8"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 xml:space="preserve">Ellis, Carolyn; Kiesinger, Christine E. &amp; </w:t>
      </w:r>
      <w:proofErr w:type="spellStart"/>
      <w:r w:rsidRPr="00CE0968">
        <w:rPr>
          <w:rFonts w:ascii="Times New Roman" w:hAnsi="Times New Roman" w:cs="Times New Roman"/>
        </w:rPr>
        <w:t>Tillmann</w:t>
      </w:r>
      <w:proofErr w:type="spellEnd"/>
      <w:r w:rsidRPr="00CE0968">
        <w:rPr>
          <w:rFonts w:ascii="Times New Roman" w:hAnsi="Times New Roman" w:cs="Times New Roman"/>
        </w:rPr>
        <w:t>-Healy, Lisa M. (1997). Interactive interviewing: Talking about emotional experience. In Rosanna Hertz (Ed.), </w:t>
      </w:r>
      <w:r w:rsidRPr="00CE0968">
        <w:rPr>
          <w:rFonts w:ascii="Times New Roman" w:hAnsi="Times New Roman" w:cs="Times New Roman"/>
          <w:i/>
          <w:iCs/>
        </w:rPr>
        <w:t>Reflexivity and voice</w:t>
      </w:r>
      <w:r w:rsidRPr="00CE0968">
        <w:rPr>
          <w:rFonts w:ascii="Times New Roman" w:hAnsi="Times New Roman" w:cs="Times New Roman"/>
        </w:rPr>
        <w:t> (pp.119-149). Thousand Oaks, CA: Sage.</w:t>
      </w:r>
    </w:p>
    <w:p w14:paraId="094B52FF"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 xml:space="preserve">Emerson, R. M., </w:t>
      </w:r>
      <w:proofErr w:type="spellStart"/>
      <w:r w:rsidRPr="00CE0968">
        <w:rPr>
          <w:rFonts w:ascii="Times New Roman" w:hAnsi="Times New Roman" w:cs="Times New Roman"/>
        </w:rPr>
        <w:t>Fretz</w:t>
      </w:r>
      <w:proofErr w:type="spellEnd"/>
      <w:r w:rsidRPr="00CE0968">
        <w:rPr>
          <w:rFonts w:ascii="Times New Roman" w:hAnsi="Times New Roman" w:cs="Times New Roman"/>
        </w:rPr>
        <w:t xml:space="preserve">, R. I., &amp; Shaw, L. L. (1995). </w:t>
      </w:r>
      <w:r w:rsidRPr="00CE0968">
        <w:rPr>
          <w:rFonts w:ascii="Times New Roman" w:hAnsi="Times New Roman" w:cs="Times New Roman"/>
          <w:i/>
        </w:rPr>
        <w:t xml:space="preserve">Writing ethnographic fieldnotes. </w:t>
      </w:r>
      <w:r w:rsidRPr="00CE0968">
        <w:rPr>
          <w:rFonts w:ascii="Times New Roman" w:hAnsi="Times New Roman" w:cs="Times New Roman"/>
        </w:rPr>
        <w:t>Chicago: University of Chicago Press.</w:t>
      </w:r>
    </w:p>
    <w:p w14:paraId="29BBC44C" w14:textId="77777777" w:rsidR="00D91945" w:rsidRPr="00CE0968" w:rsidRDefault="00D91945" w:rsidP="00D91945">
      <w:pPr>
        <w:ind w:hanging="720"/>
        <w:rPr>
          <w:rFonts w:ascii="Times New Roman" w:hAnsi="Times New Roman" w:cs="Times New Roman"/>
        </w:rPr>
      </w:pPr>
      <w:proofErr w:type="spellStart"/>
      <w:r w:rsidRPr="00CE0968">
        <w:rPr>
          <w:rFonts w:ascii="Times New Roman" w:eastAsia="Times New Roman" w:hAnsi="Times New Roman" w:cs="Times New Roman"/>
        </w:rPr>
        <w:t>Esterberg</w:t>
      </w:r>
      <w:proofErr w:type="spellEnd"/>
      <w:r w:rsidRPr="00CE0968">
        <w:rPr>
          <w:rFonts w:ascii="Times New Roman" w:eastAsia="Times New Roman" w:hAnsi="Times New Roman" w:cs="Times New Roman"/>
        </w:rPr>
        <w:t xml:space="preserve">, K. G. (2002). </w:t>
      </w:r>
      <w:r w:rsidRPr="00CE0968">
        <w:rPr>
          <w:rFonts w:ascii="Times New Roman" w:eastAsia="Times New Roman" w:hAnsi="Times New Roman" w:cs="Times New Roman"/>
          <w:i/>
        </w:rPr>
        <w:t>Qualitative Methods in Social Research</w:t>
      </w:r>
      <w:r w:rsidRPr="00CE0968">
        <w:rPr>
          <w:rFonts w:ascii="Times New Roman" w:eastAsia="Times New Roman" w:hAnsi="Times New Roman" w:cs="Times New Roman"/>
        </w:rPr>
        <w:t>. Boston, MA: McGraw-Hill.</w:t>
      </w:r>
    </w:p>
    <w:p w14:paraId="23667246"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Etherington, Kim (2007). Ethical research in reflexive relationships.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 13</w:t>
      </w:r>
      <w:r w:rsidRPr="00CE0968">
        <w:rPr>
          <w:rFonts w:ascii="Times New Roman" w:hAnsi="Times New Roman" w:cs="Times New Roman"/>
        </w:rPr>
        <w:t>(5), 599-616.</w:t>
      </w:r>
    </w:p>
    <w:p w14:paraId="2C3AB907"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Evans-Pritchard, E. E. 1940. </w:t>
      </w:r>
      <w:r w:rsidRPr="00CE0968">
        <w:rPr>
          <w:rFonts w:ascii="Times New Roman" w:hAnsi="Times New Roman" w:cs="Times New Roman"/>
          <w:i/>
        </w:rPr>
        <w:t xml:space="preserve">The Nuer: A description of the modes of livelihood and political institutions of a Nilotic people. </w:t>
      </w:r>
      <w:r w:rsidRPr="00CE0968">
        <w:rPr>
          <w:rFonts w:ascii="Times New Roman" w:hAnsi="Times New Roman" w:cs="Times New Roman"/>
        </w:rPr>
        <w:t>Oxford: Clarendon Press.</w:t>
      </w:r>
    </w:p>
    <w:p w14:paraId="63D913F6" w14:textId="77777777" w:rsidR="00D91945" w:rsidRPr="00F41DF7" w:rsidRDefault="00D91945" w:rsidP="00D91945">
      <w:pPr>
        <w:ind w:hanging="720"/>
        <w:rPr>
          <w:rFonts w:ascii="Times New Roman" w:hAnsi="Times New Roman" w:cs="Times New Roman"/>
        </w:rPr>
      </w:pPr>
      <w:proofErr w:type="spellStart"/>
      <w:r w:rsidRPr="00F41DF7">
        <w:rPr>
          <w:rFonts w:ascii="Times New Roman" w:hAnsi="Times New Roman" w:cs="Times New Roman"/>
        </w:rPr>
        <w:t>Faden</w:t>
      </w:r>
      <w:proofErr w:type="spellEnd"/>
      <w:r w:rsidRPr="00F41DF7">
        <w:rPr>
          <w:rFonts w:ascii="Times New Roman" w:hAnsi="Times New Roman" w:cs="Times New Roman"/>
        </w:rPr>
        <w:t xml:space="preserve">, R. R., &amp; Beauchamp, T. L. (1986). A history and theory of informed consent. Oxford, UK: Oxford University Press. </w:t>
      </w:r>
    </w:p>
    <w:p w14:paraId="19DFBD14"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Fine, Gary A. (1993). Ten lies of ethnography. </w:t>
      </w:r>
      <w:r w:rsidRPr="00CE0968">
        <w:rPr>
          <w:rFonts w:ascii="Times New Roman" w:hAnsi="Times New Roman" w:cs="Times New Roman"/>
          <w:i/>
          <w:iCs/>
        </w:rPr>
        <w:t>Journal of Contemporary Ethnography</w:t>
      </w:r>
      <w:r w:rsidRPr="00CE0968">
        <w:rPr>
          <w:rFonts w:ascii="Times New Roman" w:hAnsi="Times New Roman" w:cs="Times New Roman"/>
        </w:rPr>
        <w:t>,</w:t>
      </w:r>
      <w:r w:rsidRPr="00CE0968">
        <w:rPr>
          <w:rFonts w:ascii="Times New Roman" w:hAnsi="Times New Roman" w:cs="Times New Roman"/>
          <w:i/>
          <w:iCs/>
        </w:rPr>
        <w:t> 22</w:t>
      </w:r>
      <w:r w:rsidRPr="00CE0968">
        <w:rPr>
          <w:rFonts w:ascii="Times New Roman" w:hAnsi="Times New Roman" w:cs="Times New Roman"/>
        </w:rPr>
        <w:t>(3), 267-294.</w:t>
      </w:r>
    </w:p>
    <w:p w14:paraId="376573A5"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Fine, Gary A. (2003). Towards a people ethnography: Developing a theory from group life. </w:t>
      </w:r>
      <w:r w:rsidRPr="00CE0968">
        <w:rPr>
          <w:rFonts w:ascii="Times New Roman" w:hAnsi="Times New Roman" w:cs="Times New Roman"/>
          <w:i/>
          <w:iCs/>
        </w:rPr>
        <w:t>Ethnography</w:t>
      </w:r>
      <w:r w:rsidRPr="00CE0968">
        <w:rPr>
          <w:rFonts w:ascii="Times New Roman" w:hAnsi="Times New Roman" w:cs="Times New Roman"/>
        </w:rPr>
        <w:t>,</w:t>
      </w:r>
      <w:r w:rsidRPr="00CE0968">
        <w:rPr>
          <w:rFonts w:ascii="Times New Roman" w:hAnsi="Times New Roman" w:cs="Times New Roman"/>
          <w:i/>
          <w:iCs/>
        </w:rPr>
        <w:t> 4</w:t>
      </w:r>
      <w:r w:rsidRPr="00CE0968">
        <w:rPr>
          <w:rFonts w:ascii="Times New Roman" w:hAnsi="Times New Roman" w:cs="Times New Roman"/>
        </w:rPr>
        <w:t>(1), 41-60.</w:t>
      </w:r>
    </w:p>
    <w:p w14:paraId="4A125071"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Fine, M. (2018). </w:t>
      </w:r>
      <w:r w:rsidRPr="00CE0968">
        <w:rPr>
          <w:rFonts w:ascii="Times New Roman" w:hAnsi="Times New Roman" w:cs="Times New Roman"/>
          <w:i/>
        </w:rPr>
        <w:t>Just Research in Contentious Times</w:t>
      </w:r>
      <w:r w:rsidRPr="00CE0968">
        <w:rPr>
          <w:rFonts w:ascii="Times New Roman" w:hAnsi="Times New Roman" w:cs="Times New Roman"/>
        </w:rPr>
        <w:t>.  New York, NY: Teachers College Press.</w:t>
      </w:r>
    </w:p>
    <w:p w14:paraId="3BA4CE2D"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Fisher, Walter R. (1984). Narration as human communication paradigm: The case of public moral argument. </w:t>
      </w:r>
      <w:r w:rsidRPr="00CE0968">
        <w:rPr>
          <w:rFonts w:ascii="Times New Roman" w:hAnsi="Times New Roman" w:cs="Times New Roman"/>
          <w:i/>
          <w:iCs/>
        </w:rPr>
        <w:t>Communication Monographs</w:t>
      </w:r>
      <w:r w:rsidRPr="00CE0968">
        <w:rPr>
          <w:rFonts w:ascii="Times New Roman" w:hAnsi="Times New Roman" w:cs="Times New Roman"/>
        </w:rPr>
        <w:t>, </w:t>
      </w:r>
      <w:r w:rsidRPr="00CE0968">
        <w:rPr>
          <w:rFonts w:ascii="Times New Roman" w:hAnsi="Times New Roman" w:cs="Times New Roman"/>
          <w:i/>
          <w:iCs/>
        </w:rPr>
        <w:t>51</w:t>
      </w:r>
      <w:r w:rsidRPr="00CE0968">
        <w:rPr>
          <w:rFonts w:ascii="Times New Roman" w:hAnsi="Times New Roman" w:cs="Times New Roman"/>
        </w:rPr>
        <w:t>(1), 1-22.</w:t>
      </w:r>
    </w:p>
    <w:p w14:paraId="3C8666FE" w14:textId="77777777" w:rsidR="00D91945" w:rsidRPr="00CE0968" w:rsidRDefault="00605712" w:rsidP="00D91945">
      <w:pPr>
        <w:ind w:hanging="720"/>
        <w:rPr>
          <w:rFonts w:ascii="Times New Roman" w:hAnsi="Times New Roman" w:cs="Times New Roman"/>
        </w:rPr>
      </w:pPr>
      <w:hyperlink r:id="rId87" w:tgtFrame="_self" w:history="1">
        <w:r w:rsidR="00D91945" w:rsidRPr="00CE0968">
          <w:rPr>
            <w:rStyle w:val="Hyperlink"/>
            <w:rFonts w:ascii="Times New Roman" w:hAnsi="Times New Roman" w:cs="Times New Roman"/>
          </w:rPr>
          <w:t>Flick, Uwe</w:t>
        </w:r>
      </w:hyperlink>
      <w:r w:rsidR="00D91945" w:rsidRPr="00CE0968">
        <w:rPr>
          <w:rFonts w:ascii="Times New Roman" w:hAnsi="Times New Roman" w:cs="Times New Roman"/>
        </w:rPr>
        <w:t xml:space="preserve"> (2010). </w:t>
      </w:r>
      <w:proofErr w:type="spellStart"/>
      <w:r w:rsidR="00D91945" w:rsidRPr="00CE0968">
        <w:rPr>
          <w:rFonts w:ascii="Times New Roman" w:hAnsi="Times New Roman" w:cs="Times New Roman"/>
        </w:rPr>
        <w:t>Gütekriterien</w:t>
      </w:r>
      <w:proofErr w:type="spellEnd"/>
      <w:r w:rsidR="00D91945" w:rsidRPr="00CE0968">
        <w:rPr>
          <w:rFonts w:ascii="Times New Roman" w:hAnsi="Times New Roman" w:cs="Times New Roman"/>
        </w:rPr>
        <w:t xml:space="preserve"> </w:t>
      </w:r>
      <w:proofErr w:type="spellStart"/>
      <w:r w:rsidR="00D91945" w:rsidRPr="00CE0968">
        <w:rPr>
          <w:rFonts w:ascii="Times New Roman" w:hAnsi="Times New Roman" w:cs="Times New Roman"/>
        </w:rPr>
        <w:t>qualitativer</w:t>
      </w:r>
      <w:proofErr w:type="spellEnd"/>
      <w:r w:rsidR="00D91945" w:rsidRPr="00CE0968">
        <w:rPr>
          <w:rFonts w:ascii="Times New Roman" w:hAnsi="Times New Roman" w:cs="Times New Roman"/>
        </w:rPr>
        <w:t xml:space="preserve"> </w:t>
      </w:r>
      <w:proofErr w:type="spellStart"/>
      <w:r w:rsidR="00D91945" w:rsidRPr="00CE0968">
        <w:rPr>
          <w:rFonts w:ascii="Times New Roman" w:hAnsi="Times New Roman" w:cs="Times New Roman"/>
        </w:rPr>
        <w:t>Forschung</w:t>
      </w:r>
      <w:proofErr w:type="spellEnd"/>
      <w:r w:rsidR="00D91945" w:rsidRPr="00CE0968">
        <w:rPr>
          <w:rFonts w:ascii="Times New Roman" w:hAnsi="Times New Roman" w:cs="Times New Roman"/>
        </w:rPr>
        <w:t>. In </w:t>
      </w:r>
      <w:hyperlink r:id="rId88" w:tgtFrame="_self" w:history="1">
        <w:r w:rsidR="00D91945" w:rsidRPr="00CE0968">
          <w:rPr>
            <w:rStyle w:val="Hyperlink"/>
            <w:rFonts w:ascii="Times New Roman" w:hAnsi="Times New Roman" w:cs="Times New Roman"/>
          </w:rPr>
          <w:t xml:space="preserve">Günter </w:t>
        </w:r>
        <w:proofErr w:type="spellStart"/>
        <w:r w:rsidR="00D91945" w:rsidRPr="00CE0968">
          <w:rPr>
            <w:rStyle w:val="Hyperlink"/>
            <w:rFonts w:ascii="Times New Roman" w:hAnsi="Times New Roman" w:cs="Times New Roman"/>
          </w:rPr>
          <w:t>Mey</w:t>
        </w:r>
        <w:proofErr w:type="spellEnd"/>
      </w:hyperlink>
      <w:r w:rsidR="00D91945" w:rsidRPr="00CE0968">
        <w:rPr>
          <w:rFonts w:ascii="Times New Roman" w:hAnsi="Times New Roman" w:cs="Times New Roman"/>
        </w:rPr>
        <w:t> &amp; </w:t>
      </w:r>
      <w:hyperlink r:id="rId89" w:tgtFrame="_self" w:history="1">
        <w:r w:rsidR="00D91945" w:rsidRPr="00CE0968">
          <w:rPr>
            <w:rStyle w:val="Hyperlink"/>
            <w:rFonts w:ascii="Times New Roman" w:hAnsi="Times New Roman" w:cs="Times New Roman"/>
          </w:rPr>
          <w:t xml:space="preserve">Katja </w:t>
        </w:r>
        <w:proofErr w:type="spellStart"/>
        <w:r w:rsidR="00D91945" w:rsidRPr="00CE0968">
          <w:rPr>
            <w:rStyle w:val="Hyperlink"/>
            <w:rFonts w:ascii="Times New Roman" w:hAnsi="Times New Roman" w:cs="Times New Roman"/>
          </w:rPr>
          <w:t>Mruck</w:t>
        </w:r>
        <w:proofErr w:type="spellEnd"/>
      </w:hyperlink>
      <w:r w:rsidR="00D91945" w:rsidRPr="00CE0968">
        <w:rPr>
          <w:rFonts w:ascii="Times New Roman" w:hAnsi="Times New Roman" w:cs="Times New Roman"/>
        </w:rPr>
        <w:t> (Eds.), </w:t>
      </w:r>
      <w:proofErr w:type="spellStart"/>
      <w:r w:rsidR="00D91945" w:rsidRPr="00CE0968">
        <w:rPr>
          <w:rFonts w:ascii="Times New Roman" w:hAnsi="Times New Roman" w:cs="Times New Roman"/>
          <w:i/>
          <w:iCs/>
        </w:rPr>
        <w:t>Handbuch</w:t>
      </w:r>
      <w:proofErr w:type="spellEnd"/>
      <w:r w:rsidR="00D91945" w:rsidRPr="00CE0968">
        <w:rPr>
          <w:rFonts w:ascii="Times New Roman" w:hAnsi="Times New Roman" w:cs="Times New Roman"/>
          <w:i/>
          <w:iCs/>
        </w:rPr>
        <w:t xml:space="preserve"> Qualitative </w:t>
      </w:r>
      <w:proofErr w:type="spellStart"/>
      <w:r w:rsidR="00D91945" w:rsidRPr="00CE0968">
        <w:rPr>
          <w:rFonts w:ascii="Times New Roman" w:hAnsi="Times New Roman" w:cs="Times New Roman"/>
          <w:i/>
          <w:iCs/>
        </w:rPr>
        <w:t>Forschung</w:t>
      </w:r>
      <w:proofErr w:type="spellEnd"/>
      <w:r w:rsidR="00D91945" w:rsidRPr="00CE0968">
        <w:rPr>
          <w:rFonts w:ascii="Times New Roman" w:hAnsi="Times New Roman" w:cs="Times New Roman"/>
          <w:i/>
          <w:iCs/>
        </w:rPr>
        <w:t xml:space="preserve"> in der </w:t>
      </w:r>
      <w:proofErr w:type="spellStart"/>
      <w:r w:rsidR="00D91945" w:rsidRPr="00CE0968">
        <w:rPr>
          <w:rFonts w:ascii="Times New Roman" w:hAnsi="Times New Roman" w:cs="Times New Roman"/>
          <w:i/>
          <w:iCs/>
        </w:rPr>
        <w:t>Psychologie</w:t>
      </w:r>
      <w:proofErr w:type="spellEnd"/>
      <w:r w:rsidR="00D91945" w:rsidRPr="00CE0968">
        <w:rPr>
          <w:rFonts w:ascii="Times New Roman" w:hAnsi="Times New Roman" w:cs="Times New Roman"/>
        </w:rPr>
        <w:t> (pp.395-470). Wiesbaden: VS Verlag/Springer.</w:t>
      </w:r>
    </w:p>
    <w:p w14:paraId="0B2A0587"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Foster, Elissa (2006). </w:t>
      </w:r>
      <w:r w:rsidRPr="00CE0968">
        <w:rPr>
          <w:rFonts w:ascii="Times New Roman" w:hAnsi="Times New Roman" w:cs="Times New Roman"/>
          <w:i/>
          <w:iCs/>
        </w:rPr>
        <w:t>Communicating at the end of life</w:t>
      </w:r>
      <w:r w:rsidRPr="00CE0968">
        <w:rPr>
          <w:rFonts w:ascii="Times New Roman" w:hAnsi="Times New Roman" w:cs="Times New Roman"/>
        </w:rPr>
        <w:t>. Mahwah, NJ: Lawrence Erlbaum.</w:t>
      </w:r>
    </w:p>
    <w:p w14:paraId="6622CB0E"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Foster, Elissa (2008). Commitment, communication, and contending with heteronormativity: An invitation to greater reflexivity in interpersonal research. </w:t>
      </w:r>
      <w:r w:rsidRPr="00CE0968">
        <w:rPr>
          <w:rFonts w:ascii="Times New Roman" w:hAnsi="Times New Roman" w:cs="Times New Roman"/>
          <w:i/>
          <w:iCs/>
        </w:rPr>
        <w:t>Southern Communication Journal</w:t>
      </w:r>
      <w:r w:rsidRPr="00CE0968">
        <w:rPr>
          <w:rFonts w:ascii="Times New Roman" w:hAnsi="Times New Roman" w:cs="Times New Roman"/>
        </w:rPr>
        <w:t>,</w:t>
      </w:r>
      <w:r w:rsidRPr="00CE0968">
        <w:rPr>
          <w:rFonts w:ascii="Times New Roman" w:hAnsi="Times New Roman" w:cs="Times New Roman"/>
          <w:i/>
          <w:iCs/>
        </w:rPr>
        <w:t> 73</w:t>
      </w:r>
      <w:r w:rsidRPr="00CE0968">
        <w:rPr>
          <w:rFonts w:ascii="Times New Roman" w:hAnsi="Times New Roman" w:cs="Times New Roman"/>
        </w:rPr>
        <w:t>(1), 84-101.</w:t>
      </w:r>
    </w:p>
    <w:p w14:paraId="5FD4CF12"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Frank, Arthur W. (1995). </w:t>
      </w:r>
      <w:r w:rsidRPr="00CE0968">
        <w:rPr>
          <w:rFonts w:ascii="Times New Roman" w:hAnsi="Times New Roman" w:cs="Times New Roman"/>
          <w:i/>
          <w:iCs/>
        </w:rPr>
        <w:t>The wounded storyteller</w:t>
      </w:r>
      <w:r w:rsidRPr="00CE0968">
        <w:rPr>
          <w:rFonts w:ascii="Times New Roman" w:hAnsi="Times New Roman" w:cs="Times New Roman"/>
        </w:rPr>
        <w:t>. Chicago: University of Chicago Press.</w:t>
      </w:r>
    </w:p>
    <w:p w14:paraId="0218D077"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Freeman, Derek. 1983. </w:t>
      </w:r>
      <w:r w:rsidRPr="00CE0968">
        <w:rPr>
          <w:rFonts w:ascii="Times New Roman" w:hAnsi="Times New Roman" w:cs="Times New Roman"/>
          <w:i/>
        </w:rPr>
        <w:t xml:space="preserve">Margaret Mead and Samoa: The making and unmaking of an anthropological myth. </w:t>
      </w:r>
      <w:r w:rsidRPr="00CE0968">
        <w:rPr>
          <w:rFonts w:ascii="Times New Roman" w:hAnsi="Times New Roman" w:cs="Times New Roman"/>
        </w:rPr>
        <w:t>Cambridge, MA: Harvard University Press.</w:t>
      </w:r>
    </w:p>
    <w:p w14:paraId="0D02206D"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Freeman, Mark (2004). Data are everywhere: Narrative criticism in the literature of experience. In Colette </w:t>
      </w:r>
      <w:proofErr w:type="spellStart"/>
      <w:r w:rsidRPr="00CE0968">
        <w:rPr>
          <w:rFonts w:ascii="Times New Roman" w:hAnsi="Times New Roman" w:cs="Times New Roman"/>
        </w:rPr>
        <w:t>Daiute</w:t>
      </w:r>
      <w:proofErr w:type="spellEnd"/>
      <w:r w:rsidRPr="00CE0968">
        <w:rPr>
          <w:rFonts w:ascii="Times New Roman" w:hAnsi="Times New Roman" w:cs="Times New Roman"/>
        </w:rPr>
        <w:t xml:space="preserve"> &amp; Cynthia Lightfoot (Eds.), </w:t>
      </w:r>
      <w:r w:rsidRPr="00CE0968">
        <w:rPr>
          <w:rFonts w:ascii="Times New Roman" w:hAnsi="Times New Roman" w:cs="Times New Roman"/>
          <w:i/>
          <w:iCs/>
        </w:rPr>
        <w:t>Narrative analysis: Studying the development of individuals in society</w:t>
      </w:r>
      <w:r w:rsidRPr="00CE0968">
        <w:rPr>
          <w:rFonts w:ascii="Times New Roman" w:hAnsi="Times New Roman" w:cs="Times New Roman"/>
        </w:rPr>
        <w:t> (pp.63-81). Thousand Oaks, CA: Sage.</w:t>
      </w:r>
    </w:p>
    <w:p w14:paraId="25A2BC1C"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Friedan, Betty (1964). </w:t>
      </w:r>
      <w:r w:rsidRPr="00CE0968">
        <w:rPr>
          <w:rFonts w:ascii="Times New Roman" w:hAnsi="Times New Roman" w:cs="Times New Roman"/>
          <w:i/>
          <w:iCs/>
        </w:rPr>
        <w:t>The feminine mystique</w:t>
      </w:r>
      <w:r w:rsidRPr="00CE0968">
        <w:rPr>
          <w:rFonts w:ascii="Times New Roman" w:hAnsi="Times New Roman" w:cs="Times New Roman"/>
        </w:rPr>
        <w:t>. New York: Dell.</w:t>
      </w:r>
    </w:p>
    <w:p w14:paraId="6F1745B7"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Gans</w:t>
      </w:r>
      <w:proofErr w:type="spellEnd"/>
      <w:r w:rsidRPr="00CE0968">
        <w:rPr>
          <w:rFonts w:ascii="Times New Roman" w:hAnsi="Times New Roman" w:cs="Times New Roman"/>
        </w:rPr>
        <w:t>, Herbert J. (1999). Participant observation: In the era of "ethnography." </w:t>
      </w:r>
      <w:r w:rsidRPr="00CE0968">
        <w:rPr>
          <w:rFonts w:ascii="Times New Roman" w:hAnsi="Times New Roman" w:cs="Times New Roman"/>
          <w:i/>
          <w:iCs/>
        </w:rPr>
        <w:t>Journal of Contemporary Ethnography</w:t>
      </w:r>
      <w:r w:rsidRPr="00CE0968">
        <w:rPr>
          <w:rFonts w:ascii="Times New Roman" w:hAnsi="Times New Roman" w:cs="Times New Roman"/>
        </w:rPr>
        <w:t>,</w:t>
      </w:r>
      <w:r w:rsidRPr="00CE0968">
        <w:rPr>
          <w:rFonts w:ascii="Times New Roman" w:hAnsi="Times New Roman" w:cs="Times New Roman"/>
          <w:i/>
          <w:iCs/>
        </w:rPr>
        <w:t> 28</w:t>
      </w:r>
      <w:r w:rsidRPr="00CE0968">
        <w:rPr>
          <w:rFonts w:ascii="Times New Roman" w:hAnsi="Times New Roman" w:cs="Times New Roman"/>
        </w:rPr>
        <w:t>(5), 540-548.</w:t>
      </w:r>
    </w:p>
    <w:p w14:paraId="6ADA8057"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Geertz, Clifford (1973). </w:t>
      </w:r>
      <w:r w:rsidRPr="00CE0968">
        <w:rPr>
          <w:rFonts w:ascii="Times New Roman" w:hAnsi="Times New Roman" w:cs="Times New Roman"/>
          <w:i/>
          <w:iCs/>
        </w:rPr>
        <w:t>The interpretation of cultures</w:t>
      </w:r>
      <w:r w:rsidRPr="00CE0968">
        <w:rPr>
          <w:rFonts w:ascii="Times New Roman" w:hAnsi="Times New Roman" w:cs="Times New Roman"/>
        </w:rPr>
        <w:t>. New York: Basic Books.</w:t>
      </w:r>
    </w:p>
    <w:p w14:paraId="5B7A7FC4"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Gerber, David A. (1996). The "careers" of people exhibited in freak shows: The problem of volition and valorization. In Rosemarie G. Thomson (Ed.), </w:t>
      </w:r>
      <w:r w:rsidRPr="00CE0968">
        <w:rPr>
          <w:rFonts w:ascii="Times New Roman" w:hAnsi="Times New Roman" w:cs="Times New Roman"/>
          <w:i/>
          <w:iCs/>
        </w:rPr>
        <w:t>Freakery: Cultural spectacles of the extraordinary body</w:t>
      </w:r>
      <w:r w:rsidRPr="00CE0968">
        <w:rPr>
          <w:rFonts w:ascii="Times New Roman" w:hAnsi="Times New Roman" w:cs="Times New Roman"/>
        </w:rPr>
        <w:t> (pp.38-54). New York: New York University Press.</w:t>
      </w:r>
    </w:p>
    <w:p w14:paraId="05846D48" w14:textId="77777777" w:rsidR="00D91945" w:rsidRPr="00CE0968" w:rsidRDefault="00605712" w:rsidP="00D91945">
      <w:pPr>
        <w:ind w:hanging="720"/>
        <w:rPr>
          <w:rFonts w:ascii="Times New Roman" w:hAnsi="Times New Roman" w:cs="Times New Roman"/>
        </w:rPr>
      </w:pPr>
      <w:hyperlink r:id="rId90" w:tgtFrame="_self" w:history="1">
        <w:r w:rsidR="00D91945" w:rsidRPr="00CE0968">
          <w:rPr>
            <w:rStyle w:val="Hyperlink"/>
            <w:rFonts w:ascii="Times New Roman" w:hAnsi="Times New Roman" w:cs="Times New Roman"/>
          </w:rPr>
          <w:t>Gergen, Mary M.</w:t>
        </w:r>
      </w:hyperlink>
      <w:r w:rsidR="00D91945" w:rsidRPr="00CE0968">
        <w:rPr>
          <w:rFonts w:ascii="Times New Roman" w:hAnsi="Times New Roman" w:cs="Times New Roman"/>
        </w:rPr>
        <w:t> &amp; </w:t>
      </w:r>
      <w:hyperlink r:id="rId91" w:tgtFrame="_self" w:history="1">
        <w:r w:rsidR="00D91945" w:rsidRPr="00CE0968">
          <w:rPr>
            <w:rStyle w:val="Hyperlink"/>
            <w:rFonts w:ascii="Times New Roman" w:hAnsi="Times New Roman" w:cs="Times New Roman"/>
          </w:rPr>
          <w:t>Gergen, Kenneth J.</w:t>
        </w:r>
      </w:hyperlink>
      <w:r w:rsidR="00D91945" w:rsidRPr="00CE0968">
        <w:rPr>
          <w:rFonts w:ascii="Times New Roman" w:hAnsi="Times New Roman" w:cs="Times New Roman"/>
        </w:rPr>
        <w:t> ( 2010). Performative social science.</w:t>
      </w:r>
      <w:r w:rsidR="00D91945" w:rsidRPr="00CE0968">
        <w:rPr>
          <w:rFonts w:ascii="Times New Roman" w:hAnsi="Times New Roman" w:cs="Times New Roman"/>
          <w:i/>
          <w:iCs/>
        </w:rPr>
        <w:t xml:space="preserve"> Forum Qualitative </w:t>
      </w:r>
      <w:proofErr w:type="spellStart"/>
      <w:r w:rsidR="00D91945" w:rsidRPr="00CE0968">
        <w:rPr>
          <w:rFonts w:ascii="Times New Roman" w:hAnsi="Times New Roman" w:cs="Times New Roman"/>
          <w:i/>
          <w:iCs/>
        </w:rPr>
        <w:t>Sozialforschung</w:t>
      </w:r>
      <w:proofErr w:type="spellEnd"/>
      <w:r w:rsidR="00D91945" w:rsidRPr="00CE0968">
        <w:rPr>
          <w:rFonts w:ascii="Times New Roman" w:hAnsi="Times New Roman" w:cs="Times New Roman"/>
          <w:i/>
          <w:iCs/>
        </w:rPr>
        <w:t xml:space="preserve"> / Forum: Qualitative Social Research</w:t>
      </w:r>
      <w:r w:rsidR="00D91945" w:rsidRPr="00CE0968">
        <w:rPr>
          <w:rFonts w:ascii="Times New Roman" w:hAnsi="Times New Roman" w:cs="Times New Roman"/>
        </w:rPr>
        <w:t>, </w:t>
      </w:r>
      <w:r w:rsidR="00D91945" w:rsidRPr="00CE0968">
        <w:rPr>
          <w:rFonts w:ascii="Times New Roman" w:hAnsi="Times New Roman" w:cs="Times New Roman"/>
          <w:i/>
          <w:iCs/>
        </w:rPr>
        <w:t>12</w:t>
      </w:r>
      <w:r w:rsidR="00D91945" w:rsidRPr="00CE0968">
        <w:rPr>
          <w:rFonts w:ascii="Times New Roman" w:hAnsi="Times New Roman" w:cs="Times New Roman"/>
        </w:rPr>
        <w:t>(1), Art. 11, </w:t>
      </w:r>
      <w:hyperlink r:id="rId92" w:tgtFrame="_blank" w:history="1">
        <w:r w:rsidR="00D91945" w:rsidRPr="00CE0968">
          <w:rPr>
            <w:rStyle w:val="Hyperlink"/>
            <w:rFonts w:ascii="Times New Roman" w:hAnsi="Times New Roman" w:cs="Times New Roman"/>
          </w:rPr>
          <w:t>http://nbn-resolving.de/urn:nbn:de:0114-fqs1101119</w:t>
        </w:r>
      </w:hyperlink>
      <w:r w:rsidR="00D91945" w:rsidRPr="00CE0968">
        <w:rPr>
          <w:rFonts w:ascii="Times New Roman" w:hAnsi="Times New Roman" w:cs="Times New Roman"/>
        </w:rPr>
        <w:t>.</w:t>
      </w:r>
    </w:p>
    <w:p w14:paraId="446105EC"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Gingrich-Philbrook, Craig (2005). Autoethnography's family values: Easy access to compulsory experiences. </w:t>
      </w:r>
      <w:r w:rsidRPr="00CE0968">
        <w:rPr>
          <w:rFonts w:ascii="Times New Roman" w:hAnsi="Times New Roman" w:cs="Times New Roman"/>
          <w:i/>
          <w:iCs/>
        </w:rPr>
        <w:t>Text and Performance Quarterly</w:t>
      </w:r>
      <w:r w:rsidRPr="00CE0968">
        <w:rPr>
          <w:rFonts w:ascii="Times New Roman" w:hAnsi="Times New Roman" w:cs="Times New Roman"/>
        </w:rPr>
        <w:t>,</w:t>
      </w:r>
      <w:r w:rsidRPr="00CE0968">
        <w:rPr>
          <w:rFonts w:ascii="Times New Roman" w:hAnsi="Times New Roman" w:cs="Times New Roman"/>
          <w:i/>
          <w:iCs/>
        </w:rPr>
        <w:t> 25</w:t>
      </w:r>
      <w:r w:rsidRPr="00CE0968">
        <w:rPr>
          <w:rFonts w:ascii="Times New Roman" w:hAnsi="Times New Roman" w:cs="Times New Roman"/>
        </w:rPr>
        <w:t>(4), 297-314.</w:t>
      </w:r>
    </w:p>
    <w:p w14:paraId="592D135D"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Glave</w:t>
      </w:r>
      <w:proofErr w:type="spellEnd"/>
      <w:r w:rsidRPr="00CE0968">
        <w:rPr>
          <w:rFonts w:ascii="Times New Roman" w:hAnsi="Times New Roman" w:cs="Times New Roman"/>
        </w:rPr>
        <w:t>, Thomas (2005). </w:t>
      </w:r>
      <w:r w:rsidRPr="00CE0968">
        <w:rPr>
          <w:rFonts w:ascii="Times New Roman" w:hAnsi="Times New Roman" w:cs="Times New Roman"/>
          <w:i/>
          <w:iCs/>
        </w:rPr>
        <w:t>Words to our now: Imagination and dissent</w:t>
      </w:r>
      <w:r w:rsidRPr="00CE0968">
        <w:rPr>
          <w:rFonts w:ascii="Times New Roman" w:hAnsi="Times New Roman" w:cs="Times New Roman"/>
        </w:rPr>
        <w:t>. Minneapolis: University of Minneapolis Press.</w:t>
      </w:r>
    </w:p>
    <w:p w14:paraId="314CAE74"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Goodall, Bud H.L. (2001). </w:t>
      </w:r>
      <w:r w:rsidRPr="00CE0968">
        <w:rPr>
          <w:rFonts w:ascii="Times New Roman" w:hAnsi="Times New Roman" w:cs="Times New Roman"/>
          <w:i/>
          <w:iCs/>
        </w:rPr>
        <w:t>Writing the new ethnography</w:t>
      </w:r>
      <w:r w:rsidRPr="00CE0968">
        <w:rPr>
          <w:rFonts w:ascii="Times New Roman" w:hAnsi="Times New Roman" w:cs="Times New Roman"/>
        </w:rPr>
        <w:t xml:space="preserve">. Walnut Creek, CA: </w:t>
      </w:r>
      <w:proofErr w:type="spellStart"/>
      <w:r w:rsidRPr="00CE0968">
        <w:rPr>
          <w:rFonts w:ascii="Times New Roman" w:hAnsi="Times New Roman" w:cs="Times New Roman"/>
        </w:rPr>
        <w:t>AltaMira</w:t>
      </w:r>
      <w:proofErr w:type="spellEnd"/>
      <w:r w:rsidRPr="00CE0968">
        <w:rPr>
          <w:rFonts w:ascii="Times New Roman" w:hAnsi="Times New Roman" w:cs="Times New Roman"/>
        </w:rPr>
        <w:t>.</w:t>
      </w:r>
    </w:p>
    <w:p w14:paraId="65CD5F8C"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Goodall, Bud H.L. (2006). </w:t>
      </w:r>
      <w:r w:rsidRPr="00CE0968">
        <w:rPr>
          <w:rFonts w:ascii="Times New Roman" w:hAnsi="Times New Roman" w:cs="Times New Roman"/>
          <w:i/>
          <w:iCs/>
        </w:rPr>
        <w:t>A need to know: The clandestine history of a CIA family</w:t>
      </w:r>
      <w:r w:rsidRPr="00CE0968">
        <w:rPr>
          <w:rFonts w:ascii="Times New Roman" w:hAnsi="Times New Roman" w:cs="Times New Roman"/>
        </w:rPr>
        <w:t>. Walnut Creek, CA: Left Coast Press.</w:t>
      </w:r>
    </w:p>
    <w:p w14:paraId="12D75BAC"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Greenspan, Henry (1998). </w:t>
      </w:r>
      <w:r w:rsidRPr="00CE0968">
        <w:rPr>
          <w:rFonts w:ascii="Times New Roman" w:hAnsi="Times New Roman" w:cs="Times New Roman"/>
          <w:i/>
          <w:iCs/>
        </w:rPr>
        <w:t>On listening to Holocaust survivors: Recounting and life history</w:t>
      </w:r>
      <w:r w:rsidRPr="00CE0968">
        <w:rPr>
          <w:rFonts w:ascii="Times New Roman" w:hAnsi="Times New Roman" w:cs="Times New Roman"/>
        </w:rPr>
        <w:t>. Westport, CT: Praeger.</w:t>
      </w:r>
    </w:p>
    <w:p w14:paraId="6AE498D8"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 xml:space="preserve">Griffiths, H., </w:t>
      </w:r>
      <w:proofErr w:type="spellStart"/>
      <w:r w:rsidRPr="00CE0968">
        <w:rPr>
          <w:rFonts w:ascii="Times New Roman" w:hAnsi="Times New Roman" w:cs="Times New Roman"/>
        </w:rPr>
        <w:t>Keirns</w:t>
      </w:r>
      <w:proofErr w:type="spellEnd"/>
      <w:r w:rsidRPr="00CE0968">
        <w:rPr>
          <w:rFonts w:ascii="Times New Roman" w:hAnsi="Times New Roman" w:cs="Times New Roman"/>
        </w:rPr>
        <w:t>, N., Strayer, E., Cody-</w:t>
      </w:r>
      <w:proofErr w:type="spellStart"/>
      <w:r w:rsidRPr="00CE0968">
        <w:rPr>
          <w:rFonts w:ascii="Times New Roman" w:hAnsi="Times New Roman" w:cs="Times New Roman"/>
        </w:rPr>
        <w:t>Rydzewski</w:t>
      </w:r>
      <w:proofErr w:type="spellEnd"/>
      <w:r w:rsidRPr="00CE0968">
        <w:rPr>
          <w:rFonts w:ascii="Times New Roman" w:hAnsi="Times New Roman" w:cs="Times New Roman"/>
        </w:rPr>
        <w:t xml:space="preserve">, S., </w:t>
      </w:r>
      <w:proofErr w:type="spellStart"/>
      <w:r w:rsidRPr="00CE0968">
        <w:rPr>
          <w:rFonts w:ascii="Times New Roman" w:hAnsi="Times New Roman" w:cs="Times New Roman"/>
        </w:rPr>
        <w:t>Scaramuzzo</w:t>
      </w:r>
      <w:proofErr w:type="spellEnd"/>
      <w:r w:rsidRPr="00CE0968">
        <w:rPr>
          <w:rFonts w:ascii="Times New Roman" w:hAnsi="Times New Roman" w:cs="Times New Roman"/>
        </w:rPr>
        <w:t xml:space="preserve">, G., Sadler, T., </w:t>
      </w:r>
      <w:proofErr w:type="spellStart"/>
      <w:r w:rsidRPr="00CE0968">
        <w:rPr>
          <w:rFonts w:ascii="Times New Roman" w:hAnsi="Times New Roman" w:cs="Times New Roman"/>
        </w:rPr>
        <w:t>Vyain</w:t>
      </w:r>
      <w:proofErr w:type="spellEnd"/>
      <w:r w:rsidRPr="00CE0968">
        <w:rPr>
          <w:rFonts w:ascii="Times New Roman" w:hAnsi="Times New Roman" w:cs="Times New Roman"/>
        </w:rPr>
        <w:t xml:space="preserve">, S.,  </w:t>
      </w:r>
      <w:proofErr w:type="spellStart"/>
      <w:r w:rsidRPr="00CE0968">
        <w:rPr>
          <w:rFonts w:ascii="Times New Roman" w:hAnsi="Times New Roman" w:cs="Times New Roman"/>
        </w:rPr>
        <w:t>Bry</w:t>
      </w:r>
      <w:proofErr w:type="spellEnd"/>
      <w:r w:rsidRPr="00CE0968">
        <w:rPr>
          <w:rFonts w:ascii="Times New Roman" w:hAnsi="Times New Roman" w:cs="Times New Roman"/>
        </w:rPr>
        <w:t xml:space="preserve">, J., and Jones, FF. </w:t>
      </w:r>
      <w:r w:rsidRPr="00CE0968">
        <w:rPr>
          <w:rFonts w:ascii="Times New Roman" w:hAnsi="Times New Roman" w:cs="Times New Roman"/>
          <w:i/>
        </w:rPr>
        <w:t>Introduction to Sociology 2e</w:t>
      </w:r>
      <w:r w:rsidRPr="00CE0968">
        <w:rPr>
          <w:rFonts w:ascii="Times New Roman" w:hAnsi="Times New Roman" w:cs="Times New Roman"/>
        </w:rPr>
        <w:t xml:space="preserve">. Retrieved from </w:t>
      </w:r>
      <w:hyperlink r:id="rId93" w:history="1">
        <w:r w:rsidRPr="00CE0968">
          <w:rPr>
            <w:rStyle w:val="Hyperlink"/>
            <w:rFonts w:ascii="Times New Roman" w:hAnsi="Times New Roman" w:cs="Times New Roman"/>
          </w:rPr>
          <w:t>https://www.oercommons.org/courseware/module/11760/overview</w:t>
        </w:r>
      </w:hyperlink>
    </w:p>
    <w:p w14:paraId="5EC87B9F"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Griffiths, Heather, Nathan </w:t>
      </w:r>
      <w:proofErr w:type="spellStart"/>
      <w:r w:rsidRPr="00CE0968">
        <w:rPr>
          <w:rFonts w:ascii="Times New Roman" w:hAnsi="Times New Roman" w:cs="Times New Roman"/>
        </w:rPr>
        <w:t>Keirns</w:t>
      </w:r>
      <w:proofErr w:type="spellEnd"/>
      <w:r w:rsidRPr="00CE0968">
        <w:rPr>
          <w:rFonts w:ascii="Times New Roman" w:hAnsi="Times New Roman" w:cs="Times New Roman"/>
        </w:rPr>
        <w:t>, Eric Strayer, Susan Cody-</w:t>
      </w:r>
      <w:proofErr w:type="spellStart"/>
      <w:r w:rsidRPr="00CE0968">
        <w:rPr>
          <w:rFonts w:ascii="Times New Roman" w:hAnsi="Times New Roman" w:cs="Times New Roman"/>
        </w:rPr>
        <w:t>Rydzewski</w:t>
      </w:r>
      <w:proofErr w:type="spellEnd"/>
      <w:r w:rsidRPr="00CE0968">
        <w:rPr>
          <w:rFonts w:ascii="Times New Roman" w:hAnsi="Times New Roman" w:cs="Times New Roman"/>
        </w:rPr>
        <w:t xml:space="preserve">, Gail </w:t>
      </w:r>
      <w:proofErr w:type="spellStart"/>
      <w:r w:rsidRPr="00CE0968">
        <w:rPr>
          <w:rFonts w:ascii="Times New Roman" w:hAnsi="Times New Roman" w:cs="Times New Roman"/>
        </w:rPr>
        <w:t>Scaramuzzo</w:t>
      </w:r>
      <w:proofErr w:type="spellEnd"/>
      <w:r w:rsidRPr="00CE0968">
        <w:rPr>
          <w:rFonts w:ascii="Times New Roman" w:hAnsi="Times New Roman" w:cs="Times New Roman"/>
        </w:rPr>
        <w:t xml:space="preserve">, Sally </w:t>
      </w:r>
      <w:proofErr w:type="spellStart"/>
      <w:r w:rsidRPr="00CE0968">
        <w:rPr>
          <w:rFonts w:ascii="Times New Roman" w:hAnsi="Times New Roman" w:cs="Times New Roman"/>
        </w:rPr>
        <w:t>Vyain</w:t>
      </w:r>
      <w:proofErr w:type="spellEnd"/>
      <w:r w:rsidRPr="00CE0968">
        <w:rPr>
          <w:rFonts w:ascii="Times New Roman" w:hAnsi="Times New Roman" w:cs="Times New Roman"/>
        </w:rPr>
        <w:t xml:space="preserve">, Tommy Sadler, Jeff D. </w:t>
      </w:r>
      <w:proofErr w:type="spellStart"/>
      <w:r w:rsidRPr="00CE0968">
        <w:rPr>
          <w:rFonts w:ascii="Times New Roman" w:hAnsi="Times New Roman" w:cs="Times New Roman"/>
        </w:rPr>
        <w:t>Bry</w:t>
      </w:r>
      <w:proofErr w:type="spellEnd"/>
      <w:r w:rsidRPr="00CE0968">
        <w:rPr>
          <w:rFonts w:ascii="Times New Roman" w:hAnsi="Times New Roman" w:cs="Times New Roman"/>
        </w:rPr>
        <w:t xml:space="preserve">, and Faye Jones (2017). </w:t>
      </w:r>
      <w:r w:rsidRPr="00CE0968">
        <w:rPr>
          <w:rFonts w:ascii="Times New Roman" w:hAnsi="Times New Roman" w:cs="Times New Roman"/>
          <w:i/>
        </w:rPr>
        <w:t>Introduction to Sociology 2e</w:t>
      </w:r>
      <w:r w:rsidRPr="00CE0968">
        <w:rPr>
          <w:rFonts w:ascii="Times New Roman" w:hAnsi="Times New Roman" w:cs="Times New Roman"/>
        </w:rPr>
        <w:t>. Suwanee, GA: 12</w:t>
      </w:r>
      <w:r w:rsidRPr="00CE0968">
        <w:rPr>
          <w:rFonts w:ascii="Times New Roman" w:hAnsi="Times New Roman" w:cs="Times New Roman"/>
          <w:vertAlign w:val="superscript"/>
        </w:rPr>
        <w:t>th</w:t>
      </w:r>
      <w:r w:rsidRPr="00CE0968">
        <w:rPr>
          <w:rFonts w:ascii="Times New Roman" w:hAnsi="Times New Roman" w:cs="Times New Roman"/>
        </w:rPr>
        <w:t xml:space="preserve"> Media Services. </w:t>
      </w:r>
    </w:p>
    <w:p w14:paraId="4C3B64FE"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Herrmann, Andrew F. (2005). My father's ghost: Interrogating family photos. </w:t>
      </w:r>
      <w:r w:rsidRPr="00CE0968">
        <w:rPr>
          <w:rFonts w:ascii="Times New Roman" w:hAnsi="Times New Roman" w:cs="Times New Roman"/>
          <w:i/>
          <w:iCs/>
        </w:rPr>
        <w:t>Journal of loss and trauma</w:t>
      </w:r>
      <w:r w:rsidRPr="00CE0968">
        <w:rPr>
          <w:rFonts w:ascii="Times New Roman" w:hAnsi="Times New Roman" w:cs="Times New Roman"/>
        </w:rPr>
        <w:t>,</w:t>
      </w:r>
      <w:r w:rsidRPr="00CE0968">
        <w:rPr>
          <w:rFonts w:ascii="Times New Roman" w:hAnsi="Times New Roman" w:cs="Times New Roman"/>
          <w:i/>
          <w:iCs/>
        </w:rPr>
        <w:t> 10</w:t>
      </w:r>
      <w:r w:rsidRPr="00CE0968">
        <w:rPr>
          <w:rFonts w:ascii="Times New Roman" w:hAnsi="Times New Roman" w:cs="Times New Roman"/>
        </w:rPr>
        <w:t>(4), 337-346.</w:t>
      </w:r>
    </w:p>
    <w:p w14:paraId="1D9E4323"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Holman Jones, Stacy (2005). Autoethnography: Making the personal p</w:t>
      </w:r>
      <w:r>
        <w:rPr>
          <w:rFonts w:ascii="Times New Roman" w:hAnsi="Times New Roman" w:cs="Times New Roman"/>
        </w:rPr>
        <w:t xml:space="preserve">olitical. In Norman K. Denzin </w:t>
      </w:r>
      <w:proofErr w:type="spellStart"/>
      <w:r w:rsidRPr="00CE0968">
        <w:rPr>
          <w:rFonts w:ascii="Times New Roman" w:hAnsi="Times New Roman" w:cs="Times New Roman"/>
        </w:rPr>
        <w:t>Yvonna</w:t>
      </w:r>
      <w:proofErr w:type="spellEnd"/>
      <w:r w:rsidRPr="00CE0968">
        <w:rPr>
          <w:rFonts w:ascii="Times New Roman" w:hAnsi="Times New Roman" w:cs="Times New Roman"/>
        </w:rPr>
        <w:t xml:space="preserve"> S. Lincoln (Eds.), </w:t>
      </w:r>
      <w:r w:rsidRPr="00CE0968">
        <w:rPr>
          <w:rFonts w:ascii="Times New Roman" w:hAnsi="Times New Roman" w:cs="Times New Roman"/>
          <w:i/>
          <w:iCs/>
        </w:rPr>
        <w:t>Handbook of qualitative research</w:t>
      </w:r>
      <w:r w:rsidRPr="00CE0968">
        <w:rPr>
          <w:rFonts w:ascii="Times New Roman" w:hAnsi="Times New Roman" w:cs="Times New Roman"/>
        </w:rPr>
        <w:t> (pp.763-791). Thousand Oaks, CA: Sage.</w:t>
      </w:r>
    </w:p>
    <w:p w14:paraId="5B82478A"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hooks, bell (1994). </w:t>
      </w:r>
      <w:r w:rsidRPr="00CE0968">
        <w:rPr>
          <w:rFonts w:ascii="Times New Roman" w:hAnsi="Times New Roman" w:cs="Times New Roman"/>
          <w:i/>
          <w:iCs/>
        </w:rPr>
        <w:t>Teaching to transgress: Education as the practice of freedom</w:t>
      </w:r>
      <w:r w:rsidRPr="00CE0968">
        <w:rPr>
          <w:rFonts w:ascii="Times New Roman" w:hAnsi="Times New Roman" w:cs="Times New Roman"/>
        </w:rPr>
        <w:t>. New York: Routledge.</w:t>
      </w:r>
    </w:p>
    <w:p w14:paraId="2FFF7152"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hooks, bell (2000). </w:t>
      </w:r>
      <w:r w:rsidRPr="00CE0968">
        <w:rPr>
          <w:rFonts w:ascii="Times New Roman" w:hAnsi="Times New Roman" w:cs="Times New Roman"/>
          <w:i/>
          <w:iCs/>
        </w:rPr>
        <w:t>Where we stand: Class matters</w:t>
      </w:r>
      <w:r w:rsidRPr="00CE0968">
        <w:rPr>
          <w:rFonts w:ascii="Times New Roman" w:hAnsi="Times New Roman" w:cs="Times New Roman"/>
        </w:rPr>
        <w:t>. New York: Routledge.</w:t>
      </w:r>
    </w:p>
    <w:p w14:paraId="75AB17C0" w14:textId="77777777" w:rsidR="00D91945" w:rsidRPr="00CE0968" w:rsidRDefault="00605712" w:rsidP="00D91945">
      <w:pPr>
        <w:ind w:hanging="720"/>
        <w:rPr>
          <w:rFonts w:ascii="Times New Roman" w:eastAsia="Times New Roman" w:hAnsi="Times New Roman" w:cs="Times New Roman"/>
        </w:rPr>
      </w:pPr>
      <w:hyperlink r:id="rId94" w:history="1">
        <w:r w:rsidR="00D91945" w:rsidRPr="00CE0968">
          <w:rPr>
            <w:rFonts w:ascii="Times New Roman" w:eastAsia="Times New Roman" w:hAnsi="Times New Roman" w:cs="Times New Roman"/>
            <w:color w:val="0000FF"/>
            <w:u w:val="single"/>
          </w:rPr>
          <w:t>https://blog.simonassociates.net/podcast/043-jay-hasbrouck-thinking-like-an-anthropologist</w:t>
        </w:r>
      </w:hyperlink>
    </w:p>
    <w:p w14:paraId="3FBB0D19" w14:textId="77777777" w:rsidR="00D91945" w:rsidRPr="00CE0968" w:rsidRDefault="00605712" w:rsidP="00D91945">
      <w:pPr>
        <w:ind w:hanging="720"/>
        <w:rPr>
          <w:rFonts w:ascii="Times New Roman" w:hAnsi="Times New Roman" w:cs="Times New Roman"/>
          <w:lang w:val="en"/>
        </w:rPr>
      </w:pPr>
      <w:hyperlink r:id="rId95" w:history="1">
        <w:r w:rsidR="00D91945" w:rsidRPr="00CE0968">
          <w:rPr>
            <w:rStyle w:val="Hyperlink"/>
            <w:rFonts w:ascii="Times New Roman" w:hAnsi="Times New Roman" w:cs="Times New Roman"/>
            <w:lang w:val="en"/>
          </w:rPr>
          <w:t>https://milnepublishing.geneseo.edu/teaching-autoethnography/chapter/5-memorycharacter-essays/</w:t>
        </w:r>
      </w:hyperlink>
    </w:p>
    <w:p w14:paraId="05F244BD" w14:textId="77777777" w:rsidR="00D91945" w:rsidRPr="00CE0968" w:rsidRDefault="00605712" w:rsidP="00D91945">
      <w:pPr>
        <w:ind w:hanging="720"/>
        <w:rPr>
          <w:rFonts w:ascii="Times New Roman" w:hAnsi="Times New Roman" w:cs="Times New Roman"/>
          <w:lang w:val="en"/>
        </w:rPr>
      </w:pPr>
      <w:hyperlink r:id="rId96" w:history="1">
        <w:r w:rsidR="00D91945" w:rsidRPr="00CE0968">
          <w:rPr>
            <w:rStyle w:val="Hyperlink"/>
            <w:rFonts w:ascii="Times New Roman" w:hAnsi="Times New Roman" w:cs="Times New Roman"/>
            <w:lang w:val="en"/>
          </w:rPr>
          <w:t>https://milnepublishing.geneseo.edu/teaching-autoethnography/chapter/5-memorycharacter-essays/</w:t>
        </w:r>
      </w:hyperlink>
    </w:p>
    <w:p w14:paraId="3A43B32B" w14:textId="77777777" w:rsidR="00D91945" w:rsidRPr="00CE0968" w:rsidRDefault="00605712" w:rsidP="00D91945">
      <w:pPr>
        <w:ind w:hanging="720"/>
        <w:rPr>
          <w:rFonts w:ascii="Times New Roman" w:eastAsia="Times New Roman" w:hAnsi="Times New Roman" w:cs="Times New Roman"/>
        </w:rPr>
      </w:pPr>
      <w:hyperlink r:id="rId97" w:history="1">
        <w:r w:rsidR="00D91945" w:rsidRPr="00CE0968">
          <w:rPr>
            <w:rFonts w:ascii="Times New Roman" w:eastAsia="Times New Roman" w:hAnsi="Times New Roman" w:cs="Times New Roman"/>
            <w:color w:val="0000FF"/>
            <w:u w:val="single"/>
          </w:rPr>
          <w:t>https://www.ted.com/talks/tricia_wang_the_human_insights_missing_from_big_data/transcript</w:t>
        </w:r>
      </w:hyperlink>
    </w:p>
    <w:p w14:paraId="523D4E6A"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Humphreys, L. (1970). Tearoom trade: Impersonal sex in public places. London, UK: Duckworth. </w:t>
      </w:r>
    </w:p>
    <w:p w14:paraId="14F61187"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Humphreys, L. (1970). Tearoom trade: Impersonal sex in public places. London, UK: Duckworth. </w:t>
      </w:r>
    </w:p>
    <w:p w14:paraId="3F0B136D"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Humphreys, L. (1975). </w:t>
      </w:r>
      <w:proofErr w:type="spellStart"/>
      <w:r w:rsidRPr="00F41DF7">
        <w:rPr>
          <w:rFonts w:ascii="Times New Roman" w:hAnsi="Times New Roman" w:cs="Times New Roman"/>
        </w:rPr>
        <w:t>Teamroom</w:t>
      </w:r>
      <w:proofErr w:type="spellEnd"/>
      <w:r w:rsidRPr="00F41DF7">
        <w:rPr>
          <w:rFonts w:ascii="Times New Roman" w:hAnsi="Times New Roman" w:cs="Times New Roman"/>
        </w:rPr>
        <w:t xml:space="preserve"> trade: Impersonal sex in public places. Chicago, IL: Aldine.</w:t>
      </w:r>
    </w:p>
    <w:p w14:paraId="26F51CF5"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Humphreys, L. (2008). Tearoom trade: Impersonal sex in public places, enlarged edition with a retrospect on ethical issues. New Brunswick, NJ: </w:t>
      </w:r>
      <w:proofErr w:type="spellStart"/>
      <w:r w:rsidRPr="00F41DF7">
        <w:rPr>
          <w:rFonts w:ascii="Times New Roman" w:hAnsi="Times New Roman" w:cs="Times New Roman"/>
        </w:rPr>
        <w:t>AldineTransaction</w:t>
      </w:r>
      <w:proofErr w:type="spellEnd"/>
      <w:r w:rsidRPr="00F41DF7">
        <w:rPr>
          <w:rFonts w:ascii="Times New Roman" w:hAnsi="Times New Roman" w:cs="Times New Roman"/>
        </w:rPr>
        <w:t xml:space="preserve">. </w:t>
      </w:r>
    </w:p>
    <w:p w14:paraId="2464AD1C"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Humphreys, L. (2008). Tearoom trade: Impersonal sex in public places, enlarged edition with a retrospect on ethical issues. New Brunswick, NJ: </w:t>
      </w:r>
      <w:proofErr w:type="spellStart"/>
      <w:r w:rsidRPr="00F41DF7">
        <w:rPr>
          <w:rFonts w:ascii="Times New Roman" w:hAnsi="Times New Roman" w:cs="Times New Roman"/>
        </w:rPr>
        <w:t>AldineTransaction</w:t>
      </w:r>
      <w:proofErr w:type="spellEnd"/>
      <w:r w:rsidRPr="00F41DF7">
        <w:rPr>
          <w:rFonts w:ascii="Times New Roman" w:hAnsi="Times New Roman" w:cs="Times New Roman"/>
        </w:rPr>
        <w:t xml:space="preserve">. </w:t>
      </w:r>
    </w:p>
    <w:p w14:paraId="4551D74D"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Jago</w:t>
      </w:r>
      <w:proofErr w:type="spellEnd"/>
      <w:r w:rsidRPr="00CE0968">
        <w:rPr>
          <w:rFonts w:ascii="Times New Roman" w:hAnsi="Times New Roman" w:cs="Times New Roman"/>
        </w:rPr>
        <w:t>, Barbara J. (2002). Chronicling an academic depression. </w:t>
      </w:r>
      <w:r w:rsidRPr="00CE0968">
        <w:rPr>
          <w:rFonts w:ascii="Times New Roman" w:hAnsi="Times New Roman" w:cs="Times New Roman"/>
          <w:i/>
          <w:iCs/>
        </w:rPr>
        <w:t>Journal of Contemporary Ethnography</w:t>
      </w:r>
      <w:r w:rsidRPr="00CE0968">
        <w:rPr>
          <w:rFonts w:ascii="Times New Roman" w:hAnsi="Times New Roman" w:cs="Times New Roman"/>
        </w:rPr>
        <w:t>,</w:t>
      </w:r>
      <w:r w:rsidRPr="00CE0968">
        <w:rPr>
          <w:rFonts w:ascii="Times New Roman" w:hAnsi="Times New Roman" w:cs="Times New Roman"/>
          <w:i/>
          <w:iCs/>
        </w:rPr>
        <w:t> 31</w:t>
      </w:r>
      <w:r w:rsidRPr="00CE0968">
        <w:rPr>
          <w:rFonts w:ascii="Times New Roman" w:hAnsi="Times New Roman" w:cs="Times New Roman"/>
        </w:rPr>
        <w:t>(6), 729-757.</w:t>
      </w:r>
    </w:p>
    <w:p w14:paraId="6FBD6D6D"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 </w:t>
      </w:r>
      <w:proofErr w:type="spellStart"/>
      <w:r w:rsidRPr="00F41DF7">
        <w:rPr>
          <w:rFonts w:ascii="Times New Roman" w:hAnsi="Times New Roman" w:cs="Times New Roman"/>
        </w:rPr>
        <w:t>Jaschik</w:t>
      </w:r>
      <w:proofErr w:type="spellEnd"/>
      <w:r w:rsidRPr="00F41DF7">
        <w:rPr>
          <w:rFonts w:ascii="Times New Roman" w:hAnsi="Times New Roman" w:cs="Times New Roman"/>
        </w:rPr>
        <w:t xml:space="preserve">, S. (2009, December 4). Protecting his sources. Inside Higher Ed. Retrieved from http://www.insidehighered.com/news/2009/12/04/demuth </w:t>
      </w:r>
    </w:p>
    <w:p w14:paraId="511BE13D"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Jones, J. H. (1981). Bad blood: The Tuskegee syphilis experiment. New York, NY: Free Press.</w:t>
      </w:r>
    </w:p>
    <w:p w14:paraId="359CB7B4"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Jorgenson, Jane (2002). Engineering selves: Negotiating gender and identity in technical work. </w:t>
      </w:r>
      <w:r w:rsidRPr="00CE0968">
        <w:rPr>
          <w:rFonts w:ascii="Times New Roman" w:hAnsi="Times New Roman" w:cs="Times New Roman"/>
          <w:i/>
          <w:iCs/>
        </w:rPr>
        <w:t>Management Communication Quarterly</w:t>
      </w:r>
      <w:r w:rsidRPr="00CE0968">
        <w:rPr>
          <w:rFonts w:ascii="Times New Roman" w:hAnsi="Times New Roman" w:cs="Times New Roman"/>
        </w:rPr>
        <w:t>,</w:t>
      </w:r>
      <w:r w:rsidRPr="00CE0968">
        <w:rPr>
          <w:rFonts w:ascii="Times New Roman" w:hAnsi="Times New Roman" w:cs="Times New Roman"/>
          <w:i/>
          <w:iCs/>
        </w:rPr>
        <w:t> 15</w:t>
      </w:r>
      <w:r w:rsidRPr="00CE0968">
        <w:rPr>
          <w:rFonts w:ascii="Times New Roman" w:hAnsi="Times New Roman" w:cs="Times New Roman"/>
        </w:rPr>
        <w:t>(3), 350-380.</w:t>
      </w:r>
    </w:p>
    <w:p w14:paraId="5840465C"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Kardorff</w:t>
      </w:r>
      <w:proofErr w:type="spellEnd"/>
      <w:r w:rsidRPr="00CE0968">
        <w:rPr>
          <w:rFonts w:ascii="Times New Roman" w:hAnsi="Times New Roman" w:cs="Times New Roman"/>
        </w:rPr>
        <w:t xml:space="preserve">, Ernst von &amp; </w:t>
      </w:r>
      <w:proofErr w:type="spellStart"/>
      <w:r w:rsidRPr="00CE0968">
        <w:rPr>
          <w:rFonts w:ascii="Times New Roman" w:hAnsi="Times New Roman" w:cs="Times New Roman"/>
        </w:rPr>
        <w:t>Schönberger</w:t>
      </w:r>
      <w:proofErr w:type="spellEnd"/>
      <w:r w:rsidRPr="00CE0968">
        <w:rPr>
          <w:rFonts w:ascii="Times New Roman" w:hAnsi="Times New Roman" w:cs="Times New Roman"/>
        </w:rPr>
        <w:t xml:space="preserve">, Christine (2010). </w:t>
      </w:r>
      <w:proofErr w:type="spellStart"/>
      <w:r w:rsidRPr="00CE0968">
        <w:rPr>
          <w:rFonts w:ascii="Times New Roman" w:hAnsi="Times New Roman" w:cs="Times New Roman"/>
        </w:rPr>
        <w:t>Evaluationsforschung</w:t>
      </w:r>
      <w:proofErr w:type="spellEnd"/>
      <w:r w:rsidRPr="00CE0968">
        <w:rPr>
          <w:rFonts w:ascii="Times New Roman" w:hAnsi="Times New Roman" w:cs="Times New Roman"/>
        </w:rPr>
        <w:t xml:space="preserve">. In Günter </w:t>
      </w:r>
      <w:proofErr w:type="spellStart"/>
      <w:r w:rsidRPr="00CE0968">
        <w:rPr>
          <w:rFonts w:ascii="Times New Roman" w:hAnsi="Times New Roman" w:cs="Times New Roman"/>
        </w:rPr>
        <w:t>Mey</w:t>
      </w:r>
      <w:proofErr w:type="spellEnd"/>
      <w:r w:rsidRPr="00CE0968">
        <w:rPr>
          <w:rFonts w:ascii="Times New Roman" w:hAnsi="Times New Roman" w:cs="Times New Roman"/>
        </w:rPr>
        <w:t xml:space="preserve"> &amp; Katja </w:t>
      </w:r>
      <w:proofErr w:type="spellStart"/>
      <w:r w:rsidRPr="00CE0968">
        <w:rPr>
          <w:rFonts w:ascii="Times New Roman" w:hAnsi="Times New Roman" w:cs="Times New Roman"/>
        </w:rPr>
        <w:t>Mruck</w:t>
      </w:r>
      <w:proofErr w:type="spellEnd"/>
      <w:r w:rsidRPr="00CE0968">
        <w:rPr>
          <w:rFonts w:ascii="Times New Roman" w:hAnsi="Times New Roman" w:cs="Times New Roman"/>
        </w:rPr>
        <w:t xml:space="preserve"> (Eds.), </w:t>
      </w:r>
      <w:proofErr w:type="spellStart"/>
      <w:r w:rsidRPr="00CE0968">
        <w:rPr>
          <w:rFonts w:ascii="Times New Roman" w:hAnsi="Times New Roman" w:cs="Times New Roman"/>
          <w:i/>
          <w:iCs/>
        </w:rPr>
        <w:t>Handbuch</w:t>
      </w:r>
      <w:proofErr w:type="spellEnd"/>
      <w:r w:rsidRPr="00CE0968">
        <w:rPr>
          <w:rFonts w:ascii="Times New Roman" w:hAnsi="Times New Roman" w:cs="Times New Roman"/>
          <w:i/>
          <w:iCs/>
        </w:rPr>
        <w:t xml:space="preserve"> Qualitative </w:t>
      </w:r>
      <w:proofErr w:type="spellStart"/>
      <w:r w:rsidRPr="00CE0968">
        <w:rPr>
          <w:rFonts w:ascii="Times New Roman" w:hAnsi="Times New Roman" w:cs="Times New Roman"/>
          <w:i/>
          <w:iCs/>
        </w:rPr>
        <w:t>Forschung</w:t>
      </w:r>
      <w:proofErr w:type="spellEnd"/>
      <w:r w:rsidRPr="00CE0968">
        <w:rPr>
          <w:rFonts w:ascii="Times New Roman" w:hAnsi="Times New Roman" w:cs="Times New Roman"/>
          <w:i/>
          <w:iCs/>
        </w:rPr>
        <w:t xml:space="preserve"> in der </w:t>
      </w:r>
      <w:proofErr w:type="spellStart"/>
      <w:r w:rsidRPr="00CE0968">
        <w:rPr>
          <w:rFonts w:ascii="Times New Roman" w:hAnsi="Times New Roman" w:cs="Times New Roman"/>
          <w:i/>
          <w:iCs/>
        </w:rPr>
        <w:t>Psychologie</w:t>
      </w:r>
      <w:proofErr w:type="spellEnd"/>
      <w:r w:rsidRPr="00CE0968">
        <w:rPr>
          <w:rFonts w:ascii="Times New Roman" w:hAnsi="Times New Roman" w:cs="Times New Roman"/>
        </w:rPr>
        <w:t> (pp.367-381). Wiesbaden: VS Verlag/Springer.</w:t>
      </w:r>
    </w:p>
    <w:p w14:paraId="34D82CB0"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lastRenderedPageBreak/>
        <w:t>Keller, Evelyn F. (1995). </w:t>
      </w:r>
      <w:r w:rsidRPr="00CE0968">
        <w:rPr>
          <w:rFonts w:ascii="Times New Roman" w:hAnsi="Times New Roman" w:cs="Times New Roman"/>
          <w:i/>
          <w:iCs/>
        </w:rPr>
        <w:t>Reflections on gender and science</w:t>
      </w:r>
      <w:r w:rsidRPr="00CE0968">
        <w:rPr>
          <w:rFonts w:ascii="Times New Roman" w:hAnsi="Times New Roman" w:cs="Times New Roman"/>
        </w:rPr>
        <w:t>. New Haven, NJ: Yale University Press.</w:t>
      </w:r>
    </w:p>
    <w:p w14:paraId="643719AD"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Kiegelmann</w:t>
      </w:r>
      <w:proofErr w:type="spellEnd"/>
      <w:r w:rsidRPr="00CE0968">
        <w:rPr>
          <w:rFonts w:ascii="Times New Roman" w:hAnsi="Times New Roman" w:cs="Times New Roman"/>
        </w:rPr>
        <w:t xml:space="preserve">, </w:t>
      </w:r>
      <w:proofErr w:type="spellStart"/>
      <w:r w:rsidRPr="00CE0968">
        <w:rPr>
          <w:rFonts w:ascii="Times New Roman" w:hAnsi="Times New Roman" w:cs="Times New Roman"/>
        </w:rPr>
        <w:t>Mechthild</w:t>
      </w:r>
      <w:proofErr w:type="spellEnd"/>
      <w:r w:rsidRPr="00CE0968">
        <w:rPr>
          <w:rFonts w:ascii="Times New Roman" w:hAnsi="Times New Roman" w:cs="Times New Roman"/>
        </w:rPr>
        <w:t xml:space="preserve"> (2010). </w:t>
      </w:r>
      <w:proofErr w:type="spellStart"/>
      <w:r w:rsidRPr="00CE0968">
        <w:rPr>
          <w:rFonts w:ascii="Times New Roman" w:hAnsi="Times New Roman" w:cs="Times New Roman"/>
        </w:rPr>
        <w:t>Ethik</w:t>
      </w:r>
      <w:proofErr w:type="spellEnd"/>
      <w:r w:rsidRPr="00CE0968">
        <w:rPr>
          <w:rFonts w:ascii="Times New Roman" w:hAnsi="Times New Roman" w:cs="Times New Roman"/>
        </w:rPr>
        <w:t xml:space="preserve">. In Günter </w:t>
      </w:r>
      <w:proofErr w:type="spellStart"/>
      <w:r w:rsidRPr="00CE0968">
        <w:rPr>
          <w:rFonts w:ascii="Times New Roman" w:hAnsi="Times New Roman" w:cs="Times New Roman"/>
        </w:rPr>
        <w:t>Mey</w:t>
      </w:r>
      <w:proofErr w:type="spellEnd"/>
      <w:r w:rsidRPr="00CE0968">
        <w:rPr>
          <w:rFonts w:ascii="Times New Roman" w:hAnsi="Times New Roman" w:cs="Times New Roman"/>
        </w:rPr>
        <w:t xml:space="preserve"> &amp; Katja </w:t>
      </w:r>
      <w:proofErr w:type="spellStart"/>
      <w:r w:rsidRPr="00CE0968">
        <w:rPr>
          <w:rFonts w:ascii="Times New Roman" w:hAnsi="Times New Roman" w:cs="Times New Roman"/>
        </w:rPr>
        <w:t>Mruck</w:t>
      </w:r>
      <w:proofErr w:type="spellEnd"/>
      <w:r w:rsidRPr="00CE0968">
        <w:rPr>
          <w:rFonts w:ascii="Times New Roman" w:hAnsi="Times New Roman" w:cs="Times New Roman"/>
        </w:rPr>
        <w:t xml:space="preserve"> (Eds.), </w:t>
      </w:r>
      <w:proofErr w:type="spellStart"/>
      <w:r w:rsidRPr="00CE0968">
        <w:rPr>
          <w:rFonts w:ascii="Times New Roman" w:hAnsi="Times New Roman" w:cs="Times New Roman"/>
          <w:i/>
          <w:iCs/>
        </w:rPr>
        <w:t>Handbuch</w:t>
      </w:r>
      <w:proofErr w:type="spellEnd"/>
      <w:r w:rsidRPr="00CE0968">
        <w:rPr>
          <w:rFonts w:ascii="Times New Roman" w:hAnsi="Times New Roman" w:cs="Times New Roman"/>
          <w:i/>
          <w:iCs/>
        </w:rPr>
        <w:t xml:space="preserve"> Qualitative </w:t>
      </w:r>
      <w:proofErr w:type="spellStart"/>
      <w:r w:rsidRPr="00CE0968">
        <w:rPr>
          <w:rFonts w:ascii="Times New Roman" w:hAnsi="Times New Roman" w:cs="Times New Roman"/>
          <w:i/>
          <w:iCs/>
        </w:rPr>
        <w:t>Forschung</w:t>
      </w:r>
      <w:proofErr w:type="spellEnd"/>
      <w:r w:rsidRPr="00CE0968">
        <w:rPr>
          <w:rFonts w:ascii="Times New Roman" w:hAnsi="Times New Roman" w:cs="Times New Roman"/>
          <w:i/>
          <w:iCs/>
        </w:rPr>
        <w:t xml:space="preserve"> in der </w:t>
      </w:r>
      <w:proofErr w:type="spellStart"/>
      <w:r w:rsidRPr="00CE0968">
        <w:rPr>
          <w:rFonts w:ascii="Times New Roman" w:hAnsi="Times New Roman" w:cs="Times New Roman"/>
          <w:i/>
          <w:iCs/>
        </w:rPr>
        <w:t>Psychologie</w:t>
      </w:r>
      <w:proofErr w:type="spellEnd"/>
      <w:r w:rsidRPr="00CE0968">
        <w:rPr>
          <w:rFonts w:ascii="Times New Roman" w:hAnsi="Times New Roman" w:cs="Times New Roman"/>
        </w:rPr>
        <w:t> (pp.382-394). Wiesbaden: VS Verlag/Springer.</w:t>
      </w:r>
    </w:p>
    <w:p w14:paraId="30E0F577"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Kiesinger, Christine E. (2002). My father's shoes: The therapeutic value of narrative reframing. In Arthur P. </w:t>
      </w:r>
      <w:proofErr w:type="spellStart"/>
      <w:r w:rsidRPr="00CE0968">
        <w:rPr>
          <w:rFonts w:ascii="Times New Roman" w:hAnsi="Times New Roman" w:cs="Times New Roman"/>
        </w:rPr>
        <w:t>Bochner</w:t>
      </w:r>
      <w:proofErr w:type="spellEnd"/>
      <w:r w:rsidRPr="00CE0968">
        <w:rPr>
          <w:rFonts w:ascii="Times New Roman" w:hAnsi="Times New Roman" w:cs="Times New Roman"/>
        </w:rPr>
        <w:t xml:space="preserve"> &amp; Carolyn Ellis (Eds.), </w:t>
      </w:r>
      <w:r w:rsidRPr="00CE0968">
        <w:rPr>
          <w:rFonts w:ascii="Times New Roman" w:hAnsi="Times New Roman" w:cs="Times New Roman"/>
          <w:i/>
          <w:iCs/>
        </w:rPr>
        <w:t>Ethnographically speaking: Autoethnography, literature, and aesthetics</w:t>
      </w:r>
      <w:r w:rsidRPr="00CE0968">
        <w:rPr>
          <w:rFonts w:ascii="Times New Roman" w:hAnsi="Times New Roman" w:cs="Times New Roman"/>
        </w:rPr>
        <w:t xml:space="preserve"> (pp.95-114). Walnut Creek, CA: </w:t>
      </w:r>
      <w:proofErr w:type="spellStart"/>
      <w:r w:rsidRPr="00CE0968">
        <w:rPr>
          <w:rFonts w:ascii="Times New Roman" w:hAnsi="Times New Roman" w:cs="Times New Roman"/>
        </w:rPr>
        <w:t>AltaMira</w:t>
      </w:r>
      <w:proofErr w:type="spellEnd"/>
      <w:r w:rsidRPr="00CE0968">
        <w:rPr>
          <w:rFonts w:ascii="Times New Roman" w:hAnsi="Times New Roman" w:cs="Times New Roman"/>
        </w:rPr>
        <w:t>.</w:t>
      </w:r>
    </w:p>
    <w:p w14:paraId="4135941F"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Kuhn, Thomas S. (1996). </w:t>
      </w:r>
      <w:r w:rsidRPr="00CE0968">
        <w:rPr>
          <w:rFonts w:ascii="Times New Roman" w:hAnsi="Times New Roman" w:cs="Times New Roman"/>
          <w:i/>
          <w:iCs/>
        </w:rPr>
        <w:t>The structure of scientific revolutions</w:t>
      </w:r>
      <w:r w:rsidRPr="00CE0968">
        <w:rPr>
          <w:rFonts w:ascii="Times New Roman" w:hAnsi="Times New Roman" w:cs="Times New Roman"/>
        </w:rPr>
        <w:t> (3rd ed.). Chicago: University of Chicago Press.</w:t>
      </w:r>
    </w:p>
    <w:p w14:paraId="3F804473"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Ladner, S. (2014). </w:t>
      </w:r>
      <w:r w:rsidRPr="00CE0968">
        <w:rPr>
          <w:rFonts w:ascii="Times New Roman" w:hAnsi="Times New Roman" w:cs="Times New Roman"/>
          <w:i/>
          <w:iCs/>
        </w:rPr>
        <w:t>Practical ethnography: A guide to doing ethnography in the private sector</w:t>
      </w:r>
      <w:r w:rsidRPr="00CE0968">
        <w:rPr>
          <w:rFonts w:ascii="Times New Roman" w:hAnsi="Times New Roman" w:cs="Times New Roman"/>
        </w:rPr>
        <w:t>. Walnut Creek, CA: Left Coast Press.</w:t>
      </w:r>
    </w:p>
    <w:p w14:paraId="36CECBCA"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Lamott, Anne (1994). </w:t>
      </w:r>
      <w:r w:rsidRPr="00CE0968">
        <w:rPr>
          <w:rFonts w:ascii="Times New Roman" w:hAnsi="Times New Roman" w:cs="Times New Roman"/>
          <w:i/>
          <w:iCs/>
        </w:rPr>
        <w:t>Bird by bird: Some instructions on writing and life</w:t>
      </w:r>
      <w:r w:rsidRPr="00CE0968">
        <w:rPr>
          <w:rFonts w:ascii="Times New Roman" w:hAnsi="Times New Roman" w:cs="Times New Roman"/>
        </w:rPr>
        <w:t>. New York: Anchor.</w:t>
      </w:r>
    </w:p>
    <w:p w14:paraId="366CE052" w14:textId="77777777" w:rsidR="00D91945" w:rsidRPr="00F41DF7" w:rsidRDefault="00D91945" w:rsidP="00D91945">
      <w:pPr>
        <w:ind w:hanging="720"/>
        <w:rPr>
          <w:rFonts w:ascii="Times New Roman" w:hAnsi="Times New Roman" w:cs="Times New Roman"/>
        </w:rPr>
      </w:pPr>
      <w:proofErr w:type="spellStart"/>
      <w:r w:rsidRPr="00F41DF7">
        <w:rPr>
          <w:rFonts w:ascii="Times New Roman" w:hAnsi="Times New Roman" w:cs="Times New Roman"/>
        </w:rPr>
        <w:t>Lenza</w:t>
      </w:r>
      <w:proofErr w:type="spellEnd"/>
      <w:r w:rsidRPr="00F41DF7">
        <w:rPr>
          <w:rFonts w:ascii="Times New Roman" w:hAnsi="Times New Roman" w:cs="Times New Roman"/>
        </w:rPr>
        <w:t xml:space="preserve">, M. (2004). Controversies surrounding Laud Humphreys’ tearoom trade: An unsettling example of politics and power in methodological critiques. International Journal of Sociology and Social Policy, 24, 20–31. See also </w:t>
      </w:r>
      <w:proofErr w:type="spellStart"/>
      <w:r w:rsidRPr="00F41DF7">
        <w:rPr>
          <w:rFonts w:ascii="Times New Roman" w:hAnsi="Times New Roman" w:cs="Times New Roman"/>
        </w:rPr>
        <w:t>Nardi</w:t>
      </w:r>
      <w:proofErr w:type="spellEnd"/>
      <w:r w:rsidRPr="00F41DF7">
        <w:rPr>
          <w:rFonts w:ascii="Times New Roman" w:hAnsi="Times New Roman" w:cs="Times New Roman"/>
        </w:rPr>
        <w:t xml:space="preserve">, P. M. (1995). “The breastplate of righteousness”: </w:t>
      </w:r>
      <w:proofErr w:type="spellStart"/>
      <w:r w:rsidRPr="00F41DF7">
        <w:rPr>
          <w:rFonts w:ascii="Times New Roman" w:hAnsi="Times New Roman" w:cs="Times New Roman"/>
        </w:rPr>
        <w:t>Twentyfive</w:t>
      </w:r>
      <w:proofErr w:type="spellEnd"/>
      <w:r w:rsidRPr="00F41DF7">
        <w:rPr>
          <w:rFonts w:ascii="Times New Roman" w:hAnsi="Times New Roman" w:cs="Times New Roman"/>
        </w:rPr>
        <w:t xml:space="preserve"> years after Laud Humphreys’ Tearoom trade: Impersonal sex in public places. Journal of Homosexuality, 30, 1–10. </w:t>
      </w:r>
    </w:p>
    <w:p w14:paraId="09E67EC3" w14:textId="77777777" w:rsidR="00D91945" w:rsidRPr="00F41DF7" w:rsidRDefault="00D91945" w:rsidP="00D91945">
      <w:pPr>
        <w:ind w:hanging="720"/>
        <w:rPr>
          <w:rFonts w:ascii="Times New Roman" w:hAnsi="Times New Roman" w:cs="Times New Roman"/>
        </w:rPr>
      </w:pPr>
      <w:proofErr w:type="spellStart"/>
      <w:r w:rsidRPr="00F41DF7">
        <w:rPr>
          <w:rFonts w:ascii="Times New Roman" w:hAnsi="Times New Roman" w:cs="Times New Roman"/>
        </w:rPr>
        <w:t>Lenza</w:t>
      </w:r>
      <w:proofErr w:type="spellEnd"/>
      <w:r w:rsidRPr="00F41DF7">
        <w:rPr>
          <w:rFonts w:ascii="Times New Roman" w:hAnsi="Times New Roman" w:cs="Times New Roman"/>
        </w:rPr>
        <w:t xml:space="preserve">, M. (2004). Controversies surrounding Laud Humphreys’ tearoom trade: An unsettling example of politics and power in methodological critiques. International Journal of Sociology and Social Policy, 24, 20–31. </w:t>
      </w:r>
    </w:p>
    <w:p w14:paraId="6A99B190"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Lindquist, Julie (2002). </w:t>
      </w:r>
      <w:r w:rsidRPr="00CE0968">
        <w:rPr>
          <w:rFonts w:ascii="Times New Roman" w:hAnsi="Times New Roman" w:cs="Times New Roman"/>
          <w:i/>
          <w:iCs/>
        </w:rPr>
        <w:t>A place to stand: Politics and persuasion in a working-class bar</w:t>
      </w:r>
      <w:r w:rsidRPr="00CE0968">
        <w:rPr>
          <w:rFonts w:ascii="Times New Roman" w:hAnsi="Times New Roman" w:cs="Times New Roman"/>
        </w:rPr>
        <w:t>. Oxford: Oxford University Press.</w:t>
      </w:r>
    </w:p>
    <w:p w14:paraId="253DE065"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Lorde, Audre (1984). </w:t>
      </w:r>
      <w:r w:rsidRPr="00CE0968">
        <w:rPr>
          <w:rFonts w:ascii="Times New Roman" w:hAnsi="Times New Roman" w:cs="Times New Roman"/>
          <w:i/>
          <w:iCs/>
        </w:rPr>
        <w:t>Sister outsider</w:t>
      </w:r>
      <w:r w:rsidRPr="00CE0968">
        <w:rPr>
          <w:rFonts w:ascii="Times New Roman" w:hAnsi="Times New Roman" w:cs="Times New Roman"/>
        </w:rPr>
        <w:t>. Berkeley, CA: The Crossing Press.</w:t>
      </w:r>
    </w:p>
    <w:p w14:paraId="51D63890"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Lyotard, Jean-François (1984). </w:t>
      </w:r>
      <w:r w:rsidRPr="00CE0968">
        <w:rPr>
          <w:rFonts w:ascii="Times New Roman" w:hAnsi="Times New Roman" w:cs="Times New Roman"/>
          <w:i/>
          <w:iCs/>
        </w:rPr>
        <w:t>The postmodern condition: A report on knowledge</w:t>
      </w:r>
      <w:r w:rsidRPr="00CE0968">
        <w:rPr>
          <w:rFonts w:ascii="Times New Roman" w:hAnsi="Times New Roman" w:cs="Times New Roman"/>
        </w:rPr>
        <w:t xml:space="preserve"> (transl. by G. Bennington &amp; B. </w:t>
      </w:r>
      <w:proofErr w:type="spellStart"/>
      <w:r w:rsidRPr="00CE0968">
        <w:rPr>
          <w:rFonts w:ascii="Times New Roman" w:hAnsi="Times New Roman" w:cs="Times New Roman"/>
        </w:rPr>
        <w:t>Massumi</w:t>
      </w:r>
      <w:proofErr w:type="spellEnd"/>
      <w:r w:rsidRPr="00CE0968">
        <w:rPr>
          <w:rFonts w:ascii="Times New Roman" w:hAnsi="Times New Roman" w:cs="Times New Roman"/>
        </w:rPr>
        <w:t>). Minneapolis: University of Minnesota Press.</w:t>
      </w:r>
    </w:p>
    <w:p w14:paraId="2244DD28"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Madison, D. </w:t>
      </w:r>
      <w:proofErr w:type="spellStart"/>
      <w:r w:rsidRPr="00CE0968">
        <w:rPr>
          <w:rFonts w:ascii="Times New Roman" w:hAnsi="Times New Roman" w:cs="Times New Roman"/>
        </w:rPr>
        <w:t>Soyini</w:t>
      </w:r>
      <w:proofErr w:type="spellEnd"/>
      <w:r w:rsidRPr="00CE0968">
        <w:rPr>
          <w:rFonts w:ascii="Times New Roman" w:hAnsi="Times New Roman" w:cs="Times New Roman"/>
        </w:rPr>
        <w:t xml:space="preserve"> (2006). The dialogic performative in critical ethnography. </w:t>
      </w:r>
      <w:r w:rsidRPr="00CE0968">
        <w:rPr>
          <w:rFonts w:ascii="Times New Roman" w:hAnsi="Times New Roman" w:cs="Times New Roman"/>
          <w:i/>
          <w:iCs/>
        </w:rPr>
        <w:t>Text and Performance Quarterly</w:t>
      </w:r>
      <w:r w:rsidRPr="00CE0968">
        <w:rPr>
          <w:rFonts w:ascii="Times New Roman" w:hAnsi="Times New Roman" w:cs="Times New Roman"/>
        </w:rPr>
        <w:t>,</w:t>
      </w:r>
      <w:r w:rsidRPr="00CE0968">
        <w:rPr>
          <w:rFonts w:ascii="Times New Roman" w:hAnsi="Times New Roman" w:cs="Times New Roman"/>
          <w:i/>
          <w:iCs/>
        </w:rPr>
        <w:t> 26</w:t>
      </w:r>
      <w:r w:rsidRPr="00CE0968">
        <w:rPr>
          <w:rFonts w:ascii="Times New Roman" w:hAnsi="Times New Roman" w:cs="Times New Roman"/>
        </w:rPr>
        <w:t>(4), 320-324.</w:t>
      </w:r>
    </w:p>
    <w:p w14:paraId="46E51023" w14:textId="77777777" w:rsidR="00D91945" w:rsidRDefault="00D91945" w:rsidP="00D91945">
      <w:pPr>
        <w:ind w:hanging="720"/>
        <w:rPr>
          <w:rFonts w:ascii="Times New Roman" w:hAnsi="Times New Roman" w:cs="Times New Roman"/>
        </w:rPr>
      </w:pPr>
      <w:proofErr w:type="spellStart"/>
      <w:r w:rsidRPr="00CE0968">
        <w:rPr>
          <w:rFonts w:ascii="Times New Roman" w:hAnsi="Times New Roman" w:cs="Times New Roman"/>
        </w:rPr>
        <w:t>Makagon</w:t>
      </w:r>
      <w:proofErr w:type="spellEnd"/>
      <w:r w:rsidRPr="00CE0968">
        <w:rPr>
          <w:rFonts w:ascii="Times New Roman" w:hAnsi="Times New Roman" w:cs="Times New Roman"/>
        </w:rPr>
        <w:t>, Daniel (2004). </w:t>
      </w:r>
      <w:r w:rsidRPr="00CE0968">
        <w:rPr>
          <w:rFonts w:ascii="Times New Roman" w:hAnsi="Times New Roman" w:cs="Times New Roman"/>
          <w:i/>
          <w:iCs/>
        </w:rPr>
        <w:t>Where the ball drops: Days and nights in Times Square</w:t>
      </w:r>
      <w:r w:rsidRPr="00CE0968">
        <w:rPr>
          <w:rFonts w:ascii="Times New Roman" w:hAnsi="Times New Roman" w:cs="Times New Roman"/>
        </w:rPr>
        <w:t>. Minneapolis: University of Minnesota Press.</w:t>
      </w:r>
    </w:p>
    <w:p w14:paraId="5CA8E8ED"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Mannik</w:t>
      </w:r>
      <w:proofErr w:type="spellEnd"/>
      <w:r w:rsidRPr="00CE0968">
        <w:rPr>
          <w:rFonts w:ascii="Times New Roman" w:hAnsi="Times New Roman" w:cs="Times New Roman"/>
        </w:rPr>
        <w:t xml:space="preserve">, L.&amp; </w:t>
      </w:r>
      <w:proofErr w:type="spellStart"/>
      <w:r w:rsidRPr="00CE0968">
        <w:rPr>
          <w:rFonts w:ascii="Times New Roman" w:hAnsi="Times New Roman" w:cs="Times New Roman"/>
        </w:rPr>
        <w:t>McGarray</w:t>
      </w:r>
      <w:proofErr w:type="spellEnd"/>
      <w:r w:rsidRPr="00CE0968">
        <w:rPr>
          <w:rFonts w:ascii="Times New Roman" w:hAnsi="Times New Roman" w:cs="Times New Roman"/>
        </w:rPr>
        <w:t xml:space="preserve">, K. (2017). </w:t>
      </w:r>
      <w:r w:rsidRPr="00CE0968">
        <w:rPr>
          <w:rFonts w:ascii="Times New Roman" w:hAnsi="Times New Roman" w:cs="Times New Roman"/>
          <w:i/>
          <w:iCs/>
        </w:rPr>
        <w:t xml:space="preserve">Practicing ethnography: A student guide to method and methodology, </w:t>
      </w:r>
      <w:r w:rsidRPr="00CE0968">
        <w:rPr>
          <w:rFonts w:ascii="Times New Roman" w:hAnsi="Times New Roman" w:cs="Times New Roman"/>
        </w:rPr>
        <w:t>Toronto: University of Toronto Press.</w:t>
      </w:r>
    </w:p>
    <w:p w14:paraId="56FCC09C"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Marvasti</w:t>
      </w:r>
      <w:proofErr w:type="spellEnd"/>
      <w:r w:rsidRPr="00CE0968">
        <w:rPr>
          <w:rFonts w:ascii="Times New Roman" w:hAnsi="Times New Roman" w:cs="Times New Roman"/>
        </w:rPr>
        <w:t>, Amir (2006). Being Middle Eastern American: Identity negotiation in the context of the war on terror. </w:t>
      </w:r>
      <w:r w:rsidRPr="00CE0968">
        <w:rPr>
          <w:rFonts w:ascii="Times New Roman" w:hAnsi="Times New Roman" w:cs="Times New Roman"/>
          <w:i/>
          <w:iCs/>
        </w:rPr>
        <w:t>Symbolic Interaction</w:t>
      </w:r>
      <w:r w:rsidRPr="00CE0968">
        <w:rPr>
          <w:rFonts w:ascii="Times New Roman" w:hAnsi="Times New Roman" w:cs="Times New Roman"/>
        </w:rPr>
        <w:t>,</w:t>
      </w:r>
      <w:r w:rsidRPr="00CE0968">
        <w:rPr>
          <w:rFonts w:ascii="Times New Roman" w:hAnsi="Times New Roman" w:cs="Times New Roman"/>
          <w:i/>
          <w:iCs/>
        </w:rPr>
        <w:t> 28</w:t>
      </w:r>
      <w:r w:rsidRPr="00CE0968">
        <w:rPr>
          <w:rFonts w:ascii="Times New Roman" w:hAnsi="Times New Roman" w:cs="Times New Roman"/>
        </w:rPr>
        <w:t>(4), 525-547.</w:t>
      </w:r>
    </w:p>
    <w:p w14:paraId="39760BD2"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Maso</w:t>
      </w:r>
      <w:proofErr w:type="spellEnd"/>
      <w:r w:rsidRPr="00CE0968">
        <w:rPr>
          <w:rFonts w:ascii="Times New Roman" w:hAnsi="Times New Roman" w:cs="Times New Roman"/>
        </w:rPr>
        <w:t xml:space="preserve">, </w:t>
      </w:r>
      <w:proofErr w:type="spellStart"/>
      <w:r w:rsidRPr="00CE0968">
        <w:rPr>
          <w:rFonts w:ascii="Times New Roman" w:hAnsi="Times New Roman" w:cs="Times New Roman"/>
        </w:rPr>
        <w:t>Ilja</w:t>
      </w:r>
      <w:proofErr w:type="spellEnd"/>
      <w:r w:rsidRPr="00CE0968">
        <w:rPr>
          <w:rFonts w:ascii="Times New Roman" w:hAnsi="Times New Roman" w:cs="Times New Roman"/>
        </w:rPr>
        <w:t xml:space="preserve"> (2001). Phenomenology and ethnography. In Paul Atkinson, Amanda Coffey, Sara Delamont, John </w:t>
      </w:r>
      <w:proofErr w:type="spellStart"/>
      <w:r w:rsidRPr="00CE0968">
        <w:rPr>
          <w:rFonts w:ascii="Times New Roman" w:hAnsi="Times New Roman" w:cs="Times New Roman"/>
        </w:rPr>
        <w:t>Lofland</w:t>
      </w:r>
      <w:proofErr w:type="spellEnd"/>
      <w:r w:rsidRPr="00CE0968">
        <w:rPr>
          <w:rFonts w:ascii="Times New Roman" w:hAnsi="Times New Roman" w:cs="Times New Roman"/>
        </w:rPr>
        <w:t xml:space="preserve"> &amp; Lyn </w:t>
      </w:r>
      <w:proofErr w:type="spellStart"/>
      <w:r w:rsidRPr="00CE0968">
        <w:rPr>
          <w:rFonts w:ascii="Times New Roman" w:hAnsi="Times New Roman" w:cs="Times New Roman"/>
        </w:rPr>
        <w:t>Lofland</w:t>
      </w:r>
      <w:proofErr w:type="spellEnd"/>
      <w:r w:rsidRPr="00CE0968">
        <w:rPr>
          <w:rFonts w:ascii="Times New Roman" w:hAnsi="Times New Roman" w:cs="Times New Roman"/>
        </w:rPr>
        <w:t xml:space="preserve"> (Eds.), </w:t>
      </w:r>
      <w:r w:rsidRPr="00CE0968">
        <w:rPr>
          <w:rFonts w:ascii="Times New Roman" w:hAnsi="Times New Roman" w:cs="Times New Roman"/>
          <w:i/>
          <w:iCs/>
        </w:rPr>
        <w:t>Handbook of ethnography</w:t>
      </w:r>
      <w:r w:rsidRPr="00CE0968">
        <w:rPr>
          <w:rFonts w:ascii="Times New Roman" w:hAnsi="Times New Roman" w:cs="Times New Roman"/>
        </w:rPr>
        <w:t> (pp.136-144). Thousand Oaks, CA: Sage.</w:t>
      </w:r>
    </w:p>
    <w:p w14:paraId="00B04764"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McCauley, Stephen (1996). Let's say. In Patrick </w:t>
      </w:r>
      <w:proofErr w:type="spellStart"/>
      <w:r w:rsidRPr="00CE0968">
        <w:rPr>
          <w:rFonts w:ascii="Times New Roman" w:hAnsi="Times New Roman" w:cs="Times New Roman"/>
        </w:rPr>
        <w:t>Merla</w:t>
      </w:r>
      <w:proofErr w:type="spellEnd"/>
      <w:r w:rsidRPr="00CE0968">
        <w:rPr>
          <w:rFonts w:ascii="Times New Roman" w:hAnsi="Times New Roman" w:cs="Times New Roman"/>
        </w:rPr>
        <w:t xml:space="preserve"> (Ed.), </w:t>
      </w:r>
      <w:r w:rsidRPr="00CE0968">
        <w:rPr>
          <w:rFonts w:ascii="Times New Roman" w:hAnsi="Times New Roman" w:cs="Times New Roman"/>
          <w:i/>
          <w:iCs/>
        </w:rPr>
        <w:t>Boys like us: Gay writers tell their coming out stories</w:t>
      </w:r>
      <w:r w:rsidRPr="00CE0968">
        <w:rPr>
          <w:rFonts w:ascii="Times New Roman" w:hAnsi="Times New Roman" w:cs="Times New Roman"/>
        </w:rPr>
        <w:t> (pp.186-192). New York: Avon.</w:t>
      </w:r>
    </w:p>
    <w:p w14:paraId="05AF817A" w14:textId="77777777" w:rsidR="00D91945" w:rsidRPr="00CE0968" w:rsidRDefault="00D91945" w:rsidP="00D91945">
      <w:pPr>
        <w:ind w:hanging="720"/>
        <w:rPr>
          <w:rFonts w:ascii="Times New Roman" w:hAnsi="Times New Roman" w:cs="Times New Roman"/>
          <w:lang w:val="en"/>
        </w:rPr>
      </w:pPr>
      <w:r w:rsidRPr="00CE0968">
        <w:rPr>
          <w:rFonts w:ascii="Times New Roman" w:hAnsi="Times New Roman" w:cs="Times New Roman"/>
          <w:lang w:val="en"/>
        </w:rPr>
        <w:t xml:space="preserve">Memory/Character Essays by </w:t>
      </w:r>
      <w:hyperlink r:id="rId98">
        <w:r w:rsidRPr="00CE0968">
          <w:rPr>
            <w:rStyle w:val="Hyperlink"/>
            <w:rFonts w:ascii="Times New Roman" w:hAnsi="Times New Roman" w:cs="Times New Roman"/>
            <w:lang w:val="en"/>
          </w:rPr>
          <w:t xml:space="preserve">Melissa </w:t>
        </w:r>
        <w:proofErr w:type="spellStart"/>
        <w:r w:rsidRPr="00CE0968">
          <w:rPr>
            <w:rStyle w:val="Hyperlink"/>
            <w:rFonts w:ascii="Times New Roman" w:hAnsi="Times New Roman" w:cs="Times New Roman"/>
            <w:lang w:val="en"/>
          </w:rPr>
          <w:t>Tombro</w:t>
        </w:r>
        <w:proofErr w:type="spellEnd"/>
      </w:hyperlink>
      <w:r w:rsidRPr="00CE0968">
        <w:rPr>
          <w:rFonts w:ascii="Times New Roman" w:hAnsi="Times New Roman" w:cs="Times New Roman"/>
          <w:lang w:val="en"/>
        </w:rPr>
        <w:t xml:space="preserve"> is licensed under a </w:t>
      </w:r>
      <w:hyperlink r:id="rId99">
        <w:r w:rsidRPr="00CE0968">
          <w:rPr>
            <w:rStyle w:val="Hyperlink"/>
            <w:rFonts w:ascii="Times New Roman" w:hAnsi="Times New Roman" w:cs="Times New Roman"/>
            <w:lang w:val="en"/>
          </w:rPr>
          <w:t>Creative Commons Attribution-</w:t>
        </w:r>
        <w:proofErr w:type="spellStart"/>
        <w:r w:rsidRPr="00CE0968">
          <w:rPr>
            <w:rStyle w:val="Hyperlink"/>
            <w:rFonts w:ascii="Times New Roman" w:hAnsi="Times New Roman" w:cs="Times New Roman"/>
            <w:lang w:val="en"/>
          </w:rPr>
          <w:t>NonCommercial</w:t>
        </w:r>
        <w:proofErr w:type="spellEnd"/>
        <w:r w:rsidRPr="00CE0968">
          <w:rPr>
            <w:rStyle w:val="Hyperlink"/>
            <w:rFonts w:ascii="Times New Roman" w:hAnsi="Times New Roman" w:cs="Times New Roman"/>
            <w:lang w:val="en"/>
          </w:rPr>
          <w:t>-</w:t>
        </w:r>
        <w:proofErr w:type="spellStart"/>
        <w:r w:rsidRPr="00CE0968">
          <w:rPr>
            <w:rStyle w:val="Hyperlink"/>
            <w:rFonts w:ascii="Times New Roman" w:hAnsi="Times New Roman" w:cs="Times New Roman"/>
            <w:lang w:val="en"/>
          </w:rPr>
          <w:t>ShareAlike</w:t>
        </w:r>
        <w:proofErr w:type="spellEnd"/>
        <w:r w:rsidRPr="00CE0968">
          <w:rPr>
            <w:rStyle w:val="Hyperlink"/>
            <w:rFonts w:ascii="Times New Roman" w:hAnsi="Times New Roman" w:cs="Times New Roman"/>
            <w:lang w:val="en"/>
          </w:rPr>
          <w:t xml:space="preserve"> 4.0 International License</w:t>
        </w:r>
      </w:hyperlink>
      <w:r w:rsidRPr="00CE0968">
        <w:rPr>
          <w:rFonts w:ascii="Times New Roman" w:hAnsi="Times New Roman" w:cs="Times New Roman"/>
          <w:lang w:val="en"/>
        </w:rPr>
        <w:t>, except where otherwise noted.</w:t>
      </w:r>
    </w:p>
    <w:p w14:paraId="3906D700"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Mey</w:t>
      </w:r>
      <w:proofErr w:type="spellEnd"/>
      <w:r w:rsidRPr="00CE0968">
        <w:rPr>
          <w:rFonts w:ascii="Times New Roman" w:hAnsi="Times New Roman" w:cs="Times New Roman"/>
        </w:rPr>
        <w:t xml:space="preserve">, Günter &amp; </w:t>
      </w:r>
      <w:proofErr w:type="spellStart"/>
      <w:r w:rsidRPr="00CE0968">
        <w:rPr>
          <w:rFonts w:ascii="Times New Roman" w:hAnsi="Times New Roman" w:cs="Times New Roman"/>
        </w:rPr>
        <w:t>Mruck</w:t>
      </w:r>
      <w:proofErr w:type="spellEnd"/>
      <w:r w:rsidRPr="00CE0968">
        <w:rPr>
          <w:rFonts w:ascii="Times New Roman" w:hAnsi="Times New Roman" w:cs="Times New Roman"/>
        </w:rPr>
        <w:t xml:space="preserve">, Katja (2010). Interviews. In Günter </w:t>
      </w:r>
      <w:proofErr w:type="spellStart"/>
      <w:r w:rsidRPr="00CE0968">
        <w:rPr>
          <w:rFonts w:ascii="Times New Roman" w:hAnsi="Times New Roman" w:cs="Times New Roman"/>
        </w:rPr>
        <w:t>Mey</w:t>
      </w:r>
      <w:proofErr w:type="spellEnd"/>
      <w:r w:rsidRPr="00CE0968">
        <w:rPr>
          <w:rFonts w:ascii="Times New Roman" w:hAnsi="Times New Roman" w:cs="Times New Roman"/>
        </w:rPr>
        <w:t xml:space="preserve"> &amp; Katja </w:t>
      </w:r>
      <w:proofErr w:type="spellStart"/>
      <w:r w:rsidRPr="00CE0968">
        <w:rPr>
          <w:rFonts w:ascii="Times New Roman" w:hAnsi="Times New Roman" w:cs="Times New Roman"/>
        </w:rPr>
        <w:t>Mruck</w:t>
      </w:r>
      <w:proofErr w:type="spellEnd"/>
      <w:r w:rsidRPr="00CE0968">
        <w:rPr>
          <w:rFonts w:ascii="Times New Roman" w:hAnsi="Times New Roman" w:cs="Times New Roman"/>
        </w:rPr>
        <w:t xml:space="preserve"> (Eds.), </w:t>
      </w:r>
      <w:proofErr w:type="spellStart"/>
      <w:r w:rsidRPr="00CE0968">
        <w:rPr>
          <w:rFonts w:ascii="Times New Roman" w:hAnsi="Times New Roman" w:cs="Times New Roman"/>
          <w:i/>
          <w:iCs/>
        </w:rPr>
        <w:t>Handbuch</w:t>
      </w:r>
      <w:proofErr w:type="spellEnd"/>
      <w:r w:rsidRPr="00CE0968">
        <w:rPr>
          <w:rFonts w:ascii="Times New Roman" w:hAnsi="Times New Roman" w:cs="Times New Roman"/>
          <w:i/>
          <w:iCs/>
        </w:rPr>
        <w:t xml:space="preserve"> Qualitative </w:t>
      </w:r>
      <w:proofErr w:type="spellStart"/>
      <w:r w:rsidRPr="00CE0968">
        <w:rPr>
          <w:rFonts w:ascii="Times New Roman" w:hAnsi="Times New Roman" w:cs="Times New Roman"/>
          <w:i/>
          <w:iCs/>
        </w:rPr>
        <w:t>Forschung</w:t>
      </w:r>
      <w:proofErr w:type="spellEnd"/>
      <w:r w:rsidRPr="00CE0968">
        <w:rPr>
          <w:rFonts w:ascii="Times New Roman" w:hAnsi="Times New Roman" w:cs="Times New Roman"/>
          <w:i/>
          <w:iCs/>
        </w:rPr>
        <w:t xml:space="preserve"> in der </w:t>
      </w:r>
      <w:proofErr w:type="spellStart"/>
      <w:r w:rsidRPr="00CE0968">
        <w:rPr>
          <w:rFonts w:ascii="Times New Roman" w:hAnsi="Times New Roman" w:cs="Times New Roman"/>
          <w:i/>
          <w:iCs/>
        </w:rPr>
        <w:t>Psychologie</w:t>
      </w:r>
      <w:proofErr w:type="spellEnd"/>
      <w:r w:rsidRPr="00CE0968">
        <w:rPr>
          <w:rFonts w:ascii="Times New Roman" w:hAnsi="Times New Roman" w:cs="Times New Roman"/>
        </w:rPr>
        <w:t> (pp.423-435). Wiesbaden: VS Verlag/Springer.</w:t>
      </w:r>
    </w:p>
    <w:p w14:paraId="5672EA61"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Milgram, S. (1974). Obedience to authority: An experimental view. New York, NY: Harper &amp; Row. </w:t>
      </w:r>
    </w:p>
    <w:p w14:paraId="119681DA"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Milgram, S. (1974). Obedience to authority: An experimental view. New York, NY: Harper &amp; Row. </w:t>
      </w:r>
    </w:p>
    <w:p w14:paraId="56005046"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Minkowitz</w:t>
      </w:r>
      <w:proofErr w:type="spellEnd"/>
      <w:r w:rsidRPr="00CE0968">
        <w:rPr>
          <w:rFonts w:ascii="Times New Roman" w:hAnsi="Times New Roman" w:cs="Times New Roman"/>
        </w:rPr>
        <w:t>, Donna (1995, November/December). In the name of the father. </w:t>
      </w:r>
      <w:r w:rsidRPr="00CE0968">
        <w:rPr>
          <w:rFonts w:ascii="Times New Roman" w:hAnsi="Times New Roman" w:cs="Times New Roman"/>
          <w:i/>
          <w:iCs/>
        </w:rPr>
        <w:t>Ms.,</w:t>
      </w:r>
      <w:r w:rsidRPr="00CE0968">
        <w:rPr>
          <w:rFonts w:ascii="Times New Roman" w:hAnsi="Times New Roman" w:cs="Times New Roman"/>
        </w:rPr>
        <w:t> 64-71.</w:t>
      </w:r>
    </w:p>
    <w:p w14:paraId="65148397"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Monaghan, P. (1993). Sociologist is jailed for refusing to testify about research subject. Chronicle of Higher Education, 39, 10.</w:t>
      </w:r>
    </w:p>
    <w:p w14:paraId="5F0922DA"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lastRenderedPageBreak/>
        <w:t>Moro, Pamela (2006). It takes a darn good writer: A review of </w:t>
      </w:r>
      <w:r w:rsidRPr="00CE0968">
        <w:rPr>
          <w:rFonts w:ascii="Times New Roman" w:hAnsi="Times New Roman" w:cs="Times New Roman"/>
          <w:i/>
          <w:iCs/>
        </w:rPr>
        <w:t>The Ethnographic I</w:t>
      </w:r>
      <w:r w:rsidRPr="00CE0968">
        <w:rPr>
          <w:rFonts w:ascii="Times New Roman" w:hAnsi="Times New Roman" w:cs="Times New Roman"/>
        </w:rPr>
        <w:t>. </w:t>
      </w:r>
      <w:r w:rsidRPr="00CE0968">
        <w:rPr>
          <w:rFonts w:ascii="Times New Roman" w:hAnsi="Times New Roman" w:cs="Times New Roman"/>
          <w:i/>
          <w:iCs/>
        </w:rPr>
        <w:t>Symbolic Interaction</w:t>
      </w:r>
      <w:r w:rsidRPr="00CE0968">
        <w:rPr>
          <w:rFonts w:ascii="Times New Roman" w:hAnsi="Times New Roman" w:cs="Times New Roman"/>
        </w:rPr>
        <w:t>,</w:t>
      </w:r>
      <w:r w:rsidRPr="00CE0968">
        <w:rPr>
          <w:rFonts w:ascii="Times New Roman" w:hAnsi="Times New Roman" w:cs="Times New Roman"/>
          <w:i/>
          <w:iCs/>
        </w:rPr>
        <w:t> 29</w:t>
      </w:r>
      <w:r w:rsidRPr="00CE0968">
        <w:rPr>
          <w:rFonts w:ascii="Times New Roman" w:hAnsi="Times New Roman" w:cs="Times New Roman"/>
        </w:rPr>
        <w:t>(2), 265-269.</w:t>
      </w:r>
    </w:p>
    <w:p w14:paraId="7C8AEDB8"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Murchison, J. M. (2010). </w:t>
      </w:r>
      <w:r w:rsidRPr="00CE0968">
        <w:rPr>
          <w:rFonts w:ascii="Times New Roman" w:hAnsi="Times New Roman" w:cs="Times New Roman"/>
          <w:i/>
          <w:iCs/>
        </w:rPr>
        <w:t>Ethnography essentials: Designing, conducting, and presenting your research.</w:t>
      </w:r>
      <w:r w:rsidRPr="00CE0968">
        <w:rPr>
          <w:rFonts w:ascii="Times New Roman" w:hAnsi="Times New Roman" w:cs="Times New Roman"/>
        </w:rPr>
        <w:t xml:space="preserve"> San Francisco: CA, Jossey-Bass.</w:t>
      </w:r>
    </w:p>
    <w:p w14:paraId="78CE9497" w14:textId="77777777" w:rsidR="00D91945" w:rsidRPr="00F41DF7" w:rsidRDefault="00D91945" w:rsidP="00D91945">
      <w:pPr>
        <w:ind w:hanging="720"/>
        <w:rPr>
          <w:rFonts w:ascii="Times New Roman" w:hAnsi="Times New Roman" w:cs="Times New Roman"/>
        </w:rPr>
      </w:pPr>
      <w:proofErr w:type="spellStart"/>
      <w:r w:rsidRPr="00F41DF7">
        <w:rPr>
          <w:rFonts w:ascii="Times New Roman" w:hAnsi="Times New Roman" w:cs="Times New Roman"/>
        </w:rPr>
        <w:t>Nardi</w:t>
      </w:r>
      <w:proofErr w:type="spellEnd"/>
      <w:r w:rsidRPr="00F41DF7">
        <w:rPr>
          <w:rFonts w:ascii="Times New Roman" w:hAnsi="Times New Roman" w:cs="Times New Roman"/>
        </w:rPr>
        <w:t xml:space="preserve">, P. M. (1995). “The breastplate of righteousness”: </w:t>
      </w:r>
      <w:proofErr w:type="spellStart"/>
      <w:r w:rsidRPr="00F41DF7">
        <w:rPr>
          <w:rFonts w:ascii="Times New Roman" w:hAnsi="Times New Roman" w:cs="Times New Roman"/>
        </w:rPr>
        <w:t>Twentyfive</w:t>
      </w:r>
      <w:proofErr w:type="spellEnd"/>
      <w:r w:rsidRPr="00F41DF7">
        <w:rPr>
          <w:rFonts w:ascii="Times New Roman" w:hAnsi="Times New Roman" w:cs="Times New Roman"/>
        </w:rPr>
        <w:t xml:space="preserve"> years after Laud Humphreys’ Tearoom trade: Impersonal sex in public places. Journal of Homosexuality, 30, 1–10. Saylor URL: http://www.saylor.org/books Saylor.org 29 </w:t>
      </w:r>
    </w:p>
    <w:p w14:paraId="282762A9"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National Commission for the Protection of Human Subjects in Biomedical and Behavioral Research. (1979). The Belmont report: Ethical principles and guidelines for the protection of human subjects of research. Retrieved from http://ohsr.od.nih.gov/guidelines/belmont.html </w:t>
      </w:r>
    </w:p>
    <w:p w14:paraId="0A00C657"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National Commission for the Protection of Human Subjects in Biomedical and Behavioral Research. (1979). The Belmont report: Ethical principles and guidelines for the protection of human subjects of research. Retrieved from http://ohsr.od.nih.gov/guidelines/belmont.html </w:t>
      </w:r>
    </w:p>
    <w:p w14:paraId="5AC59C05"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National Research Act of 1974, Pub. L. no. 93-348 Stat 88. (1974). The act can be read at http://history.nih.gov/research/downloads/PL93-348.pdf. </w:t>
      </w:r>
    </w:p>
    <w:p w14:paraId="69FF504B"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National Research Act of 1974, Pub. L. no. 93-348 Stat 88. (1974). The act can be read at http://history.nih.gov/research/downloads/PL93-348.pdf</w:t>
      </w:r>
    </w:p>
    <w:p w14:paraId="02B83D58"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Neumann, Mark (1999). </w:t>
      </w:r>
      <w:r w:rsidRPr="00CE0968">
        <w:rPr>
          <w:rFonts w:ascii="Times New Roman" w:hAnsi="Times New Roman" w:cs="Times New Roman"/>
          <w:i/>
          <w:iCs/>
        </w:rPr>
        <w:t>On the rim: Looking for the Grand Canyon</w:t>
      </w:r>
      <w:r w:rsidRPr="00CE0968">
        <w:rPr>
          <w:rFonts w:ascii="Times New Roman" w:hAnsi="Times New Roman" w:cs="Times New Roman"/>
        </w:rPr>
        <w:t>. Minneapolis: University of Minnesota Press.</w:t>
      </w:r>
    </w:p>
    <w:p w14:paraId="71160240"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Nicholas, Cheryl L. (2004). Gaydar: Eye-gaze as identity recognition among gay men and lesbians. </w:t>
      </w:r>
      <w:r w:rsidRPr="00CE0968">
        <w:rPr>
          <w:rFonts w:ascii="Times New Roman" w:hAnsi="Times New Roman" w:cs="Times New Roman"/>
          <w:i/>
          <w:iCs/>
        </w:rPr>
        <w:t>Sexuality and Culture</w:t>
      </w:r>
      <w:r w:rsidRPr="00CE0968">
        <w:rPr>
          <w:rFonts w:ascii="Times New Roman" w:hAnsi="Times New Roman" w:cs="Times New Roman"/>
        </w:rPr>
        <w:t>,</w:t>
      </w:r>
      <w:r w:rsidRPr="00CE0968">
        <w:rPr>
          <w:rFonts w:ascii="Times New Roman" w:hAnsi="Times New Roman" w:cs="Times New Roman"/>
          <w:i/>
          <w:iCs/>
        </w:rPr>
        <w:t>8</w:t>
      </w:r>
      <w:r w:rsidRPr="00CE0968">
        <w:rPr>
          <w:rFonts w:ascii="Times New Roman" w:hAnsi="Times New Roman" w:cs="Times New Roman"/>
        </w:rPr>
        <w:t>(1), 60-86.</w:t>
      </w:r>
    </w:p>
    <w:p w14:paraId="746154AC"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Ogden, R. (2008). Harm. In L. M. Given (Ed.), The sage encyclopedia of qualitative research methods (pp. 379–380). Los Angeles, CA: Sage. </w:t>
      </w:r>
    </w:p>
    <w:p w14:paraId="54FA5254"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Ogden, R. (2008). Harm. In L. M. Given (Ed.), The sage encyclopedia of qualitative research methods (pp. 379–380). Los Angeles, CA: Sage. </w:t>
      </w:r>
    </w:p>
    <w:p w14:paraId="2235467F" w14:textId="77777777" w:rsidR="00D91945" w:rsidRPr="00F35E2C" w:rsidRDefault="00D91945" w:rsidP="00D91945">
      <w:pPr>
        <w:ind w:hanging="720"/>
        <w:rPr>
          <w:rFonts w:ascii="Times New Roman" w:hAnsi="Times New Roman" w:cs="Times New Roman"/>
        </w:rPr>
      </w:pPr>
      <w:r w:rsidRPr="00CE0968">
        <w:rPr>
          <w:rFonts w:ascii="Times New Roman" w:eastAsia="Times New Roman" w:hAnsi="Times New Roman" w:cs="Times New Roman"/>
        </w:rPr>
        <w:t xml:space="preserve">Paris, Django (2011). </w:t>
      </w:r>
      <w:r w:rsidRPr="00CE0968">
        <w:rPr>
          <w:rFonts w:ascii="Times New Roman" w:eastAsia="Times New Roman" w:hAnsi="Times New Roman" w:cs="Times New Roman"/>
          <w:i/>
          <w:iCs/>
        </w:rPr>
        <w:t>Language across Difference: Ethnicity, Communication, and Youth Identities in Changing Urban Schools</w:t>
      </w:r>
      <w:r w:rsidRPr="00CE0968">
        <w:rPr>
          <w:rFonts w:ascii="Times New Roman" w:eastAsia="Times New Roman" w:hAnsi="Times New Roman" w:cs="Times New Roman"/>
        </w:rPr>
        <w:t>. Cambridge, UK: Cambridge University Press.</w:t>
      </w:r>
    </w:p>
    <w:p w14:paraId="70DE31C7"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Paulson, Susan &amp; </w:t>
      </w:r>
      <w:proofErr w:type="spellStart"/>
      <w:r w:rsidRPr="00CE0968">
        <w:rPr>
          <w:rFonts w:ascii="Times New Roman" w:hAnsi="Times New Roman" w:cs="Times New Roman"/>
        </w:rPr>
        <w:t>Willig</w:t>
      </w:r>
      <w:proofErr w:type="spellEnd"/>
      <w:r w:rsidRPr="00CE0968">
        <w:rPr>
          <w:rFonts w:ascii="Times New Roman" w:hAnsi="Times New Roman" w:cs="Times New Roman"/>
        </w:rPr>
        <w:t>, Carla (2008). Older women and everyday talk about the ageing body. </w:t>
      </w:r>
      <w:r w:rsidRPr="00CE0968">
        <w:rPr>
          <w:rFonts w:ascii="Times New Roman" w:hAnsi="Times New Roman" w:cs="Times New Roman"/>
          <w:i/>
          <w:iCs/>
        </w:rPr>
        <w:t>Journal of Health Psychology</w:t>
      </w:r>
      <w:r w:rsidRPr="00CE0968">
        <w:rPr>
          <w:rFonts w:ascii="Times New Roman" w:hAnsi="Times New Roman" w:cs="Times New Roman"/>
        </w:rPr>
        <w:t>,</w:t>
      </w:r>
      <w:r w:rsidRPr="00CE0968">
        <w:rPr>
          <w:rFonts w:ascii="Times New Roman" w:hAnsi="Times New Roman" w:cs="Times New Roman"/>
          <w:i/>
          <w:iCs/>
        </w:rPr>
        <w:t> 13</w:t>
      </w:r>
      <w:r w:rsidRPr="00CE0968">
        <w:rPr>
          <w:rFonts w:ascii="Times New Roman" w:hAnsi="Times New Roman" w:cs="Times New Roman"/>
        </w:rPr>
        <w:t>(1), 106-120.</w:t>
      </w:r>
    </w:p>
    <w:p w14:paraId="17288F9D"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Pelias, Ronald J. (2000). The critical life. </w:t>
      </w:r>
      <w:r w:rsidRPr="00CE0968">
        <w:rPr>
          <w:rFonts w:ascii="Times New Roman" w:hAnsi="Times New Roman" w:cs="Times New Roman"/>
          <w:i/>
          <w:iCs/>
        </w:rPr>
        <w:t>Communication Education</w:t>
      </w:r>
      <w:r w:rsidRPr="00CE0968">
        <w:rPr>
          <w:rFonts w:ascii="Times New Roman" w:hAnsi="Times New Roman" w:cs="Times New Roman"/>
        </w:rPr>
        <w:t>,</w:t>
      </w:r>
      <w:r w:rsidRPr="00CE0968">
        <w:rPr>
          <w:rFonts w:ascii="Times New Roman" w:hAnsi="Times New Roman" w:cs="Times New Roman"/>
          <w:i/>
          <w:iCs/>
        </w:rPr>
        <w:t> 49</w:t>
      </w:r>
      <w:r w:rsidRPr="00CE0968">
        <w:rPr>
          <w:rFonts w:ascii="Times New Roman" w:hAnsi="Times New Roman" w:cs="Times New Roman"/>
        </w:rPr>
        <w:t>(3), 220-228.</w:t>
      </w:r>
    </w:p>
    <w:p w14:paraId="0A1A384E"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Pelias, Ronald J. (2007). Jarheads, girly men, and the pleasures of violence.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 13</w:t>
      </w:r>
      <w:r w:rsidRPr="00CE0968">
        <w:rPr>
          <w:rFonts w:ascii="Times New Roman" w:hAnsi="Times New Roman" w:cs="Times New Roman"/>
        </w:rPr>
        <w:t>(7), 945-959.</w:t>
      </w:r>
    </w:p>
    <w:p w14:paraId="2AEEB9A4"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Philipsen</w:t>
      </w:r>
      <w:proofErr w:type="spellEnd"/>
      <w:r w:rsidRPr="00CE0968">
        <w:rPr>
          <w:rFonts w:ascii="Times New Roman" w:hAnsi="Times New Roman" w:cs="Times New Roman"/>
        </w:rPr>
        <w:t xml:space="preserve">, Gerry (1976). Places for speaking in </w:t>
      </w:r>
      <w:proofErr w:type="spellStart"/>
      <w:r w:rsidRPr="00CE0968">
        <w:rPr>
          <w:rFonts w:ascii="Times New Roman" w:hAnsi="Times New Roman" w:cs="Times New Roman"/>
        </w:rPr>
        <w:t>Teamsterville</w:t>
      </w:r>
      <w:proofErr w:type="spellEnd"/>
      <w:r w:rsidRPr="00CE0968">
        <w:rPr>
          <w:rFonts w:ascii="Times New Roman" w:hAnsi="Times New Roman" w:cs="Times New Roman"/>
        </w:rPr>
        <w:t>. </w:t>
      </w:r>
      <w:r w:rsidRPr="00CE0968">
        <w:rPr>
          <w:rFonts w:ascii="Times New Roman" w:hAnsi="Times New Roman" w:cs="Times New Roman"/>
          <w:i/>
          <w:iCs/>
        </w:rPr>
        <w:t>Quarterly Journal of Speech, 62</w:t>
      </w:r>
      <w:r w:rsidRPr="00CE0968">
        <w:rPr>
          <w:rFonts w:ascii="Times New Roman" w:hAnsi="Times New Roman" w:cs="Times New Roman"/>
        </w:rPr>
        <w:t>(1), 15-25.</w:t>
      </w:r>
    </w:p>
    <w:p w14:paraId="23548FFD"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Plummer, Ken (2001). The call of life stories in ethnographic research. In Paul Atkinson, Amanda Coffey, Sara Delamont, John </w:t>
      </w:r>
      <w:proofErr w:type="spellStart"/>
      <w:r w:rsidRPr="00CE0968">
        <w:rPr>
          <w:rFonts w:ascii="Times New Roman" w:hAnsi="Times New Roman" w:cs="Times New Roman"/>
        </w:rPr>
        <w:t>Lofland</w:t>
      </w:r>
      <w:proofErr w:type="spellEnd"/>
      <w:r w:rsidRPr="00CE0968">
        <w:rPr>
          <w:rFonts w:ascii="Times New Roman" w:hAnsi="Times New Roman" w:cs="Times New Roman"/>
        </w:rPr>
        <w:t xml:space="preserve"> &amp; Lyn </w:t>
      </w:r>
      <w:proofErr w:type="spellStart"/>
      <w:r w:rsidRPr="00CE0968">
        <w:rPr>
          <w:rFonts w:ascii="Times New Roman" w:hAnsi="Times New Roman" w:cs="Times New Roman"/>
        </w:rPr>
        <w:t>Lofland</w:t>
      </w:r>
      <w:proofErr w:type="spellEnd"/>
      <w:r w:rsidRPr="00CE0968">
        <w:rPr>
          <w:rFonts w:ascii="Times New Roman" w:hAnsi="Times New Roman" w:cs="Times New Roman"/>
        </w:rPr>
        <w:t xml:space="preserve"> (Eds.), </w:t>
      </w:r>
      <w:r w:rsidRPr="00CE0968">
        <w:rPr>
          <w:rFonts w:ascii="Times New Roman" w:hAnsi="Times New Roman" w:cs="Times New Roman"/>
          <w:i/>
          <w:iCs/>
        </w:rPr>
        <w:t>Handbook of ethnography</w:t>
      </w:r>
      <w:r w:rsidRPr="00CE0968">
        <w:rPr>
          <w:rFonts w:ascii="Times New Roman" w:hAnsi="Times New Roman" w:cs="Times New Roman"/>
        </w:rPr>
        <w:t> (pp.395-406). Thousand Oaks, CA: Sage.</w:t>
      </w:r>
    </w:p>
    <w:p w14:paraId="7E24945B"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Poulos, Christopher N. (2008). </w:t>
      </w:r>
      <w:r w:rsidRPr="00CE0968">
        <w:rPr>
          <w:rFonts w:ascii="Times New Roman" w:hAnsi="Times New Roman" w:cs="Times New Roman"/>
          <w:i/>
          <w:iCs/>
        </w:rPr>
        <w:t>Accidental ethnography: An inquiry into family secrecy</w:t>
      </w:r>
      <w:r w:rsidRPr="00CE0968">
        <w:rPr>
          <w:rFonts w:ascii="Times New Roman" w:hAnsi="Times New Roman" w:cs="Times New Roman"/>
        </w:rPr>
        <w:t>. Walnut Creek, CA: Left Coast Press.</w:t>
      </w:r>
    </w:p>
    <w:p w14:paraId="5C5C50C8"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Radway</w:t>
      </w:r>
      <w:proofErr w:type="spellEnd"/>
      <w:r w:rsidRPr="00CE0968">
        <w:rPr>
          <w:rFonts w:ascii="Times New Roman" w:hAnsi="Times New Roman" w:cs="Times New Roman"/>
        </w:rPr>
        <w:t>, Janice A. (1984). </w:t>
      </w:r>
      <w:r w:rsidRPr="00CE0968">
        <w:rPr>
          <w:rFonts w:ascii="Times New Roman" w:hAnsi="Times New Roman" w:cs="Times New Roman"/>
          <w:i/>
          <w:iCs/>
        </w:rPr>
        <w:t>Reading the romance: Women, patriarchy, and popular literature</w:t>
      </w:r>
      <w:r w:rsidRPr="00CE0968">
        <w:rPr>
          <w:rFonts w:ascii="Times New Roman" w:hAnsi="Times New Roman" w:cs="Times New Roman"/>
        </w:rPr>
        <w:t>. Chapel Hill: University of North Carolina Press.</w:t>
      </w:r>
    </w:p>
    <w:p w14:paraId="5C93EDE2"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Rambo, Carol (2005). Impressions of grandmother: An autoethnographic portrait. </w:t>
      </w:r>
      <w:r w:rsidRPr="00CE0968">
        <w:rPr>
          <w:rFonts w:ascii="Times New Roman" w:hAnsi="Times New Roman" w:cs="Times New Roman"/>
          <w:i/>
          <w:iCs/>
        </w:rPr>
        <w:t>Journal of Contemporary Ethnography</w:t>
      </w:r>
      <w:r w:rsidRPr="00CE0968">
        <w:rPr>
          <w:rFonts w:ascii="Times New Roman" w:hAnsi="Times New Roman" w:cs="Times New Roman"/>
        </w:rPr>
        <w:t>,</w:t>
      </w:r>
      <w:r w:rsidRPr="00CE0968">
        <w:rPr>
          <w:rFonts w:ascii="Times New Roman" w:hAnsi="Times New Roman" w:cs="Times New Roman"/>
          <w:i/>
          <w:iCs/>
        </w:rPr>
        <w:t>34</w:t>
      </w:r>
      <w:r w:rsidRPr="00CE0968">
        <w:rPr>
          <w:rFonts w:ascii="Times New Roman" w:hAnsi="Times New Roman" w:cs="Times New Roman"/>
        </w:rPr>
        <w:t>(5), 560-585.</w:t>
      </w:r>
    </w:p>
    <w:p w14:paraId="3219E027" w14:textId="77777777" w:rsidR="00D91945" w:rsidRPr="00CE0968" w:rsidRDefault="00D91945" w:rsidP="00D91945">
      <w:pPr>
        <w:pStyle w:val="Heading2"/>
        <w:spacing w:before="0"/>
        <w:ind w:hanging="720"/>
        <w:rPr>
          <w:sz w:val="24"/>
          <w:szCs w:val="24"/>
        </w:rPr>
      </w:pPr>
      <w:r w:rsidRPr="00CE0968">
        <w:rPr>
          <w:sz w:val="24"/>
          <w:szCs w:val="24"/>
        </w:rPr>
        <w:t>References</w:t>
      </w:r>
    </w:p>
    <w:p w14:paraId="25B904F9" w14:textId="77777777" w:rsidR="00D91945" w:rsidRPr="00F41DF7" w:rsidRDefault="00D91945" w:rsidP="00D91945">
      <w:pPr>
        <w:ind w:hanging="720"/>
        <w:rPr>
          <w:rFonts w:ascii="Times New Roman" w:hAnsi="Times New Roman" w:cs="Times New Roman"/>
        </w:rPr>
      </w:pPr>
      <w:proofErr w:type="spellStart"/>
      <w:r w:rsidRPr="00F41DF7">
        <w:rPr>
          <w:rFonts w:ascii="Times New Roman" w:hAnsi="Times New Roman" w:cs="Times New Roman"/>
        </w:rPr>
        <w:t>Reverby</w:t>
      </w:r>
      <w:proofErr w:type="spellEnd"/>
      <w:r w:rsidRPr="00F41DF7">
        <w:rPr>
          <w:rFonts w:ascii="Times New Roman" w:hAnsi="Times New Roman" w:cs="Times New Roman"/>
        </w:rPr>
        <w:t xml:space="preserve">, S. M. (2009). Examining Tuskegee: The infamous syphilis study and its legacy. Chapel Hill, NC: University of North Carolina Press. </w:t>
      </w:r>
    </w:p>
    <w:p w14:paraId="46007EE7"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lastRenderedPageBreak/>
        <w:t xml:space="preserve">Richardson, Laurel (2000). Writing: A method of inquiry. In Norman K. Denzin &amp; </w:t>
      </w:r>
      <w:proofErr w:type="spellStart"/>
      <w:r w:rsidRPr="00CE0968">
        <w:rPr>
          <w:rFonts w:ascii="Times New Roman" w:hAnsi="Times New Roman" w:cs="Times New Roman"/>
        </w:rPr>
        <w:t>Yvonna</w:t>
      </w:r>
      <w:proofErr w:type="spellEnd"/>
      <w:r w:rsidRPr="00CE0968">
        <w:rPr>
          <w:rFonts w:ascii="Times New Roman" w:hAnsi="Times New Roman" w:cs="Times New Roman"/>
        </w:rPr>
        <w:t xml:space="preserve"> S. Lincoln (Eds.), </w:t>
      </w:r>
      <w:r w:rsidRPr="00CE0968">
        <w:rPr>
          <w:rFonts w:ascii="Times New Roman" w:hAnsi="Times New Roman" w:cs="Times New Roman"/>
          <w:i/>
          <w:iCs/>
        </w:rPr>
        <w:t>Handbook of qualitative research</w:t>
      </w:r>
      <w:r w:rsidRPr="00CE0968">
        <w:rPr>
          <w:rFonts w:ascii="Times New Roman" w:hAnsi="Times New Roman" w:cs="Times New Roman"/>
        </w:rPr>
        <w:t> (pp.923-948). Thousand Oaks, CA: Sage.</w:t>
      </w:r>
    </w:p>
    <w:p w14:paraId="1C113179"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Riedmann</w:t>
      </w:r>
      <w:proofErr w:type="spellEnd"/>
      <w:r w:rsidRPr="00CE0968">
        <w:rPr>
          <w:rFonts w:ascii="Times New Roman" w:hAnsi="Times New Roman" w:cs="Times New Roman"/>
        </w:rPr>
        <w:t>, Agnes (1993). </w:t>
      </w:r>
      <w:r w:rsidRPr="00CE0968">
        <w:rPr>
          <w:rFonts w:ascii="Times New Roman" w:hAnsi="Times New Roman" w:cs="Times New Roman"/>
          <w:i/>
          <w:iCs/>
        </w:rPr>
        <w:t>Science that colonizes: A critique of fertility studies in Africa</w:t>
      </w:r>
      <w:r w:rsidRPr="00CE0968">
        <w:rPr>
          <w:rFonts w:ascii="Times New Roman" w:hAnsi="Times New Roman" w:cs="Times New Roman"/>
        </w:rPr>
        <w:t>. Philadelphia: Temple University Press.</w:t>
      </w:r>
    </w:p>
    <w:p w14:paraId="5AA3A25B"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Rogers, Kim Lacy (2004). Lynching stories: Family and community memory in the Mississippi Delta. In Kim L. Rogers, Selma </w:t>
      </w:r>
      <w:proofErr w:type="spellStart"/>
      <w:r w:rsidRPr="00CE0968">
        <w:rPr>
          <w:rFonts w:ascii="Times New Roman" w:hAnsi="Times New Roman" w:cs="Times New Roman"/>
        </w:rPr>
        <w:t>Leydesdorff</w:t>
      </w:r>
      <w:proofErr w:type="spellEnd"/>
      <w:r w:rsidRPr="00CE0968">
        <w:rPr>
          <w:rFonts w:ascii="Times New Roman" w:hAnsi="Times New Roman" w:cs="Times New Roman"/>
        </w:rPr>
        <w:t xml:space="preserve"> &amp; Graham Dawson (Eds.), </w:t>
      </w:r>
      <w:r w:rsidRPr="00CE0968">
        <w:rPr>
          <w:rFonts w:ascii="Times New Roman" w:hAnsi="Times New Roman" w:cs="Times New Roman"/>
          <w:i/>
          <w:iCs/>
        </w:rPr>
        <w:t>Trauma: Life stories of survivors</w:t>
      </w:r>
      <w:r w:rsidRPr="00CE0968">
        <w:rPr>
          <w:rFonts w:ascii="Times New Roman" w:hAnsi="Times New Roman" w:cs="Times New Roman"/>
        </w:rPr>
        <w:t> (pp.113-130). New Brunswick, NJ: Transaction Press.</w:t>
      </w:r>
    </w:p>
    <w:p w14:paraId="52986E20" w14:textId="77777777" w:rsidR="00D91945" w:rsidRDefault="00D91945" w:rsidP="00D91945">
      <w:pPr>
        <w:ind w:hanging="720"/>
        <w:rPr>
          <w:rFonts w:ascii="Times New Roman" w:hAnsi="Times New Roman" w:cs="Times New Roman"/>
        </w:rPr>
      </w:pPr>
      <w:proofErr w:type="spellStart"/>
      <w:r w:rsidRPr="00CE0968">
        <w:rPr>
          <w:rFonts w:ascii="Times New Roman" w:hAnsi="Times New Roman" w:cs="Times New Roman"/>
        </w:rPr>
        <w:t>Ronai</w:t>
      </w:r>
      <w:proofErr w:type="spellEnd"/>
      <w:r w:rsidRPr="00CE0968">
        <w:rPr>
          <w:rFonts w:ascii="Times New Roman" w:hAnsi="Times New Roman" w:cs="Times New Roman"/>
        </w:rPr>
        <w:t>, Carol R. (1992). The reflexive self through narrative: A night in the life of an erotic dancer/researcher. In Carolyn Ellis &amp; Michael G. Flaherty (Eds.), </w:t>
      </w:r>
      <w:r w:rsidRPr="00CE0968">
        <w:rPr>
          <w:rFonts w:ascii="Times New Roman" w:hAnsi="Times New Roman" w:cs="Times New Roman"/>
          <w:i/>
          <w:iCs/>
        </w:rPr>
        <w:t>Investigating subjectivity: Research on lived experience</w:t>
      </w:r>
      <w:r w:rsidRPr="00CE0968">
        <w:rPr>
          <w:rFonts w:ascii="Times New Roman" w:hAnsi="Times New Roman" w:cs="Times New Roman"/>
        </w:rPr>
        <w:t> (pp.102-124). Newbury Park, CA: Sage.</w:t>
      </w:r>
    </w:p>
    <w:p w14:paraId="3CC59F23"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Ronai</w:t>
      </w:r>
      <w:proofErr w:type="spellEnd"/>
      <w:r w:rsidRPr="00CE0968">
        <w:rPr>
          <w:rFonts w:ascii="Times New Roman" w:hAnsi="Times New Roman" w:cs="Times New Roman"/>
        </w:rPr>
        <w:t>, Carol R. (1995). Multiple reflections of child sex abuse. </w:t>
      </w:r>
      <w:r w:rsidRPr="00CE0968">
        <w:rPr>
          <w:rFonts w:ascii="Times New Roman" w:hAnsi="Times New Roman" w:cs="Times New Roman"/>
          <w:i/>
          <w:iCs/>
        </w:rPr>
        <w:t>Journal of Contemporary Ethnography</w:t>
      </w:r>
      <w:r w:rsidRPr="00CE0968">
        <w:rPr>
          <w:rFonts w:ascii="Times New Roman" w:hAnsi="Times New Roman" w:cs="Times New Roman"/>
        </w:rPr>
        <w:t>,</w:t>
      </w:r>
      <w:r w:rsidRPr="00CE0968">
        <w:rPr>
          <w:rFonts w:ascii="Times New Roman" w:hAnsi="Times New Roman" w:cs="Times New Roman"/>
          <w:i/>
          <w:iCs/>
        </w:rPr>
        <w:t> 23</w:t>
      </w:r>
      <w:r w:rsidRPr="00CE0968">
        <w:rPr>
          <w:rFonts w:ascii="Times New Roman" w:hAnsi="Times New Roman" w:cs="Times New Roman"/>
        </w:rPr>
        <w:t>(4), 395-426.</w:t>
      </w:r>
    </w:p>
    <w:p w14:paraId="0476CF92"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Ronai</w:t>
      </w:r>
      <w:proofErr w:type="spellEnd"/>
      <w:r w:rsidRPr="00CE0968">
        <w:rPr>
          <w:rFonts w:ascii="Times New Roman" w:hAnsi="Times New Roman" w:cs="Times New Roman"/>
        </w:rPr>
        <w:t xml:space="preserve">, Carol R. (1996). My mother is mentally retarded. In Carolyn Ellis &amp; Arthur P. </w:t>
      </w:r>
      <w:proofErr w:type="spellStart"/>
      <w:r w:rsidRPr="00CE0968">
        <w:rPr>
          <w:rFonts w:ascii="Times New Roman" w:hAnsi="Times New Roman" w:cs="Times New Roman"/>
        </w:rPr>
        <w:t>Bochner</w:t>
      </w:r>
      <w:proofErr w:type="spellEnd"/>
      <w:r w:rsidRPr="00CE0968">
        <w:rPr>
          <w:rFonts w:ascii="Times New Roman" w:hAnsi="Times New Roman" w:cs="Times New Roman"/>
        </w:rPr>
        <w:t xml:space="preserve"> (Eds.), </w:t>
      </w:r>
      <w:r w:rsidRPr="00CE0968">
        <w:rPr>
          <w:rFonts w:ascii="Times New Roman" w:hAnsi="Times New Roman" w:cs="Times New Roman"/>
          <w:i/>
          <w:iCs/>
        </w:rPr>
        <w:t>Composing ethnography: Alternative forms of qualitative writing</w:t>
      </w:r>
      <w:r w:rsidRPr="00CE0968">
        <w:rPr>
          <w:rFonts w:ascii="Times New Roman" w:hAnsi="Times New Roman" w:cs="Times New Roman"/>
        </w:rPr>
        <w:t xml:space="preserve"> (pp.109-131). Walnut Creek, CA: </w:t>
      </w:r>
      <w:proofErr w:type="spellStart"/>
      <w:r w:rsidRPr="00CE0968">
        <w:rPr>
          <w:rFonts w:ascii="Times New Roman" w:hAnsi="Times New Roman" w:cs="Times New Roman"/>
        </w:rPr>
        <w:t>AltaMira</w:t>
      </w:r>
      <w:proofErr w:type="spellEnd"/>
      <w:r w:rsidRPr="00CE0968">
        <w:rPr>
          <w:rFonts w:ascii="Times New Roman" w:hAnsi="Times New Roman" w:cs="Times New Roman"/>
        </w:rPr>
        <w:t>.</w:t>
      </w:r>
    </w:p>
    <w:p w14:paraId="5D05BCF3" w14:textId="77777777" w:rsidR="00D91945" w:rsidRDefault="00D91945" w:rsidP="00D91945">
      <w:pPr>
        <w:ind w:hanging="720"/>
        <w:rPr>
          <w:rFonts w:ascii="Times New Roman" w:hAnsi="Times New Roman" w:cs="Times New Roman"/>
        </w:rPr>
      </w:pPr>
      <w:proofErr w:type="spellStart"/>
      <w:r w:rsidRPr="00CE0968">
        <w:rPr>
          <w:rFonts w:ascii="Times New Roman" w:hAnsi="Times New Roman" w:cs="Times New Roman"/>
        </w:rPr>
        <w:t>Rorty</w:t>
      </w:r>
      <w:proofErr w:type="spellEnd"/>
      <w:r w:rsidRPr="00CE0968">
        <w:rPr>
          <w:rFonts w:ascii="Times New Roman" w:hAnsi="Times New Roman" w:cs="Times New Roman"/>
        </w:rPr>
        <w:t>, Richard (1982). </w:t>
      </w:r>
      <w:r w:rsidRPr="00CE0968">
        <w:rPr>
          <w:rFonts w:ascii="Times New Roman" w:hAnsi="Times New Roman" w:cs="Times New Roman"/>
          <w:i/>
          <w:iCs/>
        </w:rPr>
        <w:t>Consequences of pragmatism (essays 1972-1980)</w:t>
      </w:r>
      <w:r w:rsidRPr="00CE0968">
        <w:rPr>
          <w:rFonts w:ascii="Times New Roman" w:hAnsi="Times New Roman" w:cs="Times New Roman"/>
        </w:rPr>
        <w:t>. Minneapolis: University of Minnesota Press.</w:t>
      </w:r>
    </w:p>
    <w:p w14:paraId="402E96DC"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Rothman, D. J. (1987). Ethics and human experimentation. The New England Journal of Medicine, 317, 1195–1199. </w:t>
      </w:r>
    </w:p>
    <w:p w14:paraId="565E54EE"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Rothman, D. J. (1987). Ethics and human experimentation. The New England Journal of Medicine, 317, 1195–1199. </w:t>
      </w:r>
    </w:p>
    <w:p w14:paraId="7BED1496"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Saylor URL: http://www.saylor.org/books Saylor.org 29 </w:t>
      </w:r>
    </w:p>
    <w:p w14:paraId="513BAE6F" w14:textId="77777777" w:rsidR="00D91945" w:rsidRDefault="00D91945" w:rsidP="00D91945">
      <w:pPr>
        <w:ind w:hanging="720"/>
        <w:rPr>
          <w:rFonts w:ascii="Times New Roman" w:hAnsi="Times New Roman" w:cs="Times New Roman"/>
        </w:rPr>
      </w:pPr>
      <w:r w:rsidRPr="00CE0968">
        <w:rPr>
          <w:rFonts w:ascii="Times New Roman" w:hAnsi="Times New Roman" w:cs="Times New Roman"/>
          <w:shd w:val="clear" w:color="auto" w:fill="FFFFFF"/>
        </w:rPr>
        <w:t xml:space="preserve">Schensul, J. J., LeCompte, M. D. (2012). ProQuest </w:t>
      </w:r>
      <w:proofErr w:type="spellStart"/>
      <w:r w:rsidRPr="00CE0968">
        <w:rPr>
          <w:rFonts w:ascii="Times New Roman" w:hAnsi="Times New Roman" w:cs="Times New Roman"/>
          <w:shd w:val="clear" w:color="auto" w:fill="FFFFFF"/>
        </w:rPr>
        <w:t>Ebook</w:t>
      </w:r>
      <w:proofErr w:type="spellEnd"/>
      <w:r w:rsidRPr="00CE0968">
        <w:rPr>
          <w:rFonts w:ascii="Times New Roman" w:hAnsi="Times New Roman" w:cs="Times New Roman"/>
          <w:shd w:val="clear" w:color="auto" w:fill="FFFFFF"/>
        </w:rPr>
        <w:t xml:space="preserve"> Central, Alta Mira Press, </w:t>
      </w:r>
      <w:hyperlink r:id="rId100" w:history="1">
        <w:r w:rsidRPr="008D3A19">
          <w:rPr>
            <w:rStyle w:val="Hyperlink"/>
            <w:rFonts w:ascii="Times New Roman" w:hAnsi="Times New Roman" w:cs="Times New Roman"/>
            <w:shd w:val="clear" w:color="auto" w:fill="FFFFFF"/>
          </w:rPr>
          <w:t>http://ebookcentral.proquest.com/lib/mcphs/detail.action?docID=1127710</w:t>
        </w:r>
      </w:hyperlink>
    </w:p>
    <w:p w14:paraId="799FC08C"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Spielman, R., Dumper, K., Jenkins, W., Lacombe, A., Lovett, M., and Perlmutter, M. (2019). </w:t>
      </w:r>
      <w:r w:rsidRPr="00CE0968">
        <w:rPr>
          <w:rFonts w:ascii="Times New Roman" w:hAnsi="Times New Roman" w:cs="Times New Roman"/>
          <w:i/>
        </w:rPr>
        <w:t>Psychology</w:t>
      </w:r>
      <w:r w:rsidRPr="00CE0968">
        <w:rPr>
          <w:rFonts w:ascii="Times New Roman" w:hAnsi="Times New Roman" w:cs="Times New Roman"/>
        </w:rPr>
        <w:t xml:space="preserve">. Retrieved from </w:t>
      </w:r>
      <w:hyperlink r:id="rId101" w:history="1">
        <w:r w:rsidRPr="00CE0968">
          <w:rPr>
            <w:rStyle w:val="Hyperlink"/>
            <w:rFonts w:ascii="Times New Roman" w:hAnsi="Times New Roman" w:cs="Times New Roman"/>
          </w:rPr>
          <w:t>https://cnx.org/contents/Sr8Ev5Og@10.16:F_mjYFfh@24/Preface</w:t>
        </w:r>
      </w:hyperlink>
    </w:p>
    <w:p w14:paraId="00AAAE1A"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Spry, Tami (2001). Performing autoethnography: An embodied methodological praxis.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 7</w:t>
      </w:r>
      <w:r w:rsidRPr="00CE0968">
        <w:rPr>
          <w:rFonts w:ascii="Times New Roman" w:hAnsi="Times New Roman" w:cs="Times New Roman"/>
        </w:rPr>
        <w:t>(6), 706-732.</w:t>
      </w:r>
    </w:p>
    <w:p w14:paraId="2EE5DD02" w14:textId="77777777" w:rsidR="00D91945" w:rsidRDefault="00D91945" w:rsidP="00D91945">
      <w:pPr>
        <w:ind w:hanging="720"/>
        <w:rPr>
          <w:rFonts w:ascii="Times New Roman" w:hAnsi="Times New Roman" w:cs="Times New Roman"/>
        </w:rPr>
      </w:pPr>
      <w:proofErr w:type="spellStart"/>
      <w:r w:rsidRPr="00CE0968">
        <w:rPr>
          <w:rFonts w:ascii="Times New Roman" w:hAnsi="Times New Roman" w:cs="Times New Roman"/>
        </w:rPr>
        <w:t>Tedlock</w:t>
      </w:r>
      <w:proofErr w:type="spellEnd"/>
      <w:r w:rsidRPr="00CE0968">
        <w:rPr>
          <w:rFonts w:ascii="Times New Roman" w:hAnsi="Times New Roman" w:cs="Times New Roman"/>
        </w:rPr>
        <w:t xml:space="preserve">, Barbara. (1991). From participant observation to the observation of participation: The </w:t>
      </w:r>
      <w:proofErr w:type="spellStart"/>
      <w:r w:rsidRPr="00CE0968">
        <w:rPr>
          <w:rFonts w:ascii="Times New Roman" w:hAnsi="Times New Roman" w:cs="Times New Roman"/>
        </w:rPr>
        <w:t>mergence</w:t>
      </w:r>
      <w:proofErr w:type="spellEnd"/>
      <w:r w:rsidRPr="00CE0968">
        <w:rPr>
          <w:rFonts w:ascii="Times New Roman" w:hAnsi="Times New Roman" w:cs="Times New Roman"/>
        </w:rPr>
        <w:t xml:space="preserve"> of narrative ethnography. </w:t>
      </w:r>
      <w:r w:rsidRPr="00CE0968">
        <w:rPr>
          <w:rFonts w:ascii="Times New Roman" w:hAnsi="Times New Roman" w:cs="Times New Roman"/>
          <w:i/>
          <w:iCs/>
        </w:rPr>
        <w:t>Journal of Anthropological Research</w:t>
      </w:r>
      <w:r w:rsidRPr="00CE0968">
        <w:rPr>
          <w:rFonts w:ascii="Times New Roman" w:hAnsi="Times New Roman" w:cs="Times New Roman"/>
        </w:rPr>
        <w:t>,</w:t>
      </w:r>
      <w:r w:rsidRPr="00CE0968">
        <w:rPr>
          <w:rFonts w:ascii="Times New Roman" w:hAnsi="Times New Roman" w:cs="Times New Roman"/>
          <w:i/>
          <w:iCs/>
        </w:rPr>
        <w:t> 47</w:t>
      </w:r>
      <w:r w:rsidRPr="00CE0968">
        <w:rPr>
          <w:rFonts w:ascii="Times New Roman" w:hAnsi="Times New Roman" w:cs="Times New Roman"/>
        </w:rPr>
        <w:t>(1), 69-94.</w:t>
      </w:r>
    </w:p>
    <w:p w14:paraId="435C6D18" w14:textId="77777777" w:rsidR="00D91945" w:rsidRPr="00CE0968" w:rsidRDefault="00D91945" w:rsidP="00D91945">
      <w:pPr>
        <w:ind w:hanging="720"/>
        <w:rPr>
          <w:rFonts w:ascii="Times New Roman" w:hAnsi="Times New Roman" w:cs="Times New Roman"/>
          <w:lang w:val="en"/>
        </w:rPr>
      </w:pPr>
      <w:r w:rsidRPr="00CE0968">
        <w:rPr>
          <w:rFonts w:ascii="Times New Roman" w:hAnsi="Times New Roman" w:cs="Times New Roman"/>
          <w:lang w:val="en"/>
        </w:rPr>
        <w:t xml:space="preserve">The Autoethnography Project by </w:t>
      </w:r>
      <w:hyperlink r:id="rId102">
        <w:r w:rsidRPr="00CE0968">
          <w:rPr>
            <w:rStyle w:val="Hyperlink"/>
            <w:rFonts w:ascii="Times New Roman" w:hAnsi="Times New Roman" w:cs="Times New Roman"/>
            <w:lang w:val="en"/>
          </w:rPr>
          <w:t xml:space="preserve">Melissa </w:t>
        </w:r>
        <w:proofErr w:type="spellStart"/>
        <w:r w:rsidRPr="00CE0968">
          <w:rPr>
            <w:rStyle w:val="Hyperlink"/>
            <w:rFonts w:ascii="Times New Roman" w:hAnsi="Times New Roman" w:cs="Times New Roman"/>
            <w:lang w:val="en"/>
          </w:rPr>
          <w:t>Tombro</w:t>
        </w:r>
        <w:proofErr w:type="spellEnd"/>
      </w:hyperlink>
      <w:r w:rsidRPr="00CE0968">
        <w:rPr>
          <w:rFonts w:ascii="Times New Roman" w:hAnsi="Times New Roman" w:cs="Times New Roman"/>
          <w:lang w:val="en"/>
        </w:rPr>
        <w:t xml:space="preserve"> is licensed under a </w:t>
      </w:r>
      <w:hyperlink r:id="rId103">
        <w:r w:rsidRPr="00CE0968">
          <w:rPr>
            <w:rStyle w:val="Hyperlink"/>
            <w:rFonts w:ascii="Times New Roman" w:hAnsi="Times New Roman" w:cs="Times New Roman"/>
            <w:lang w:val="en"/>
          </w:rPr>
          <w:t>Creative Commons Attribution-</w:t>
        </w:r>
        <w:proofErr w:type="spellStart"/>
        <w:r w:rsidRPr="00CE0968">
          <w:rPr>
            <w:rStyle w:val="Hyperlink"/>
            <w:rFonts w:ascii="Times New Roman" w:hAnsi="Times New Roman" w:cs="Times New Roman"/>
            <w:lang w:val="en"/>
          </w:rPr>
          <w:t>NonCommercial</w:t>
        </w:r>
        <w:proofErr w:type="spellEnd"/>
        <w:r w:rsidRPr="00CE0968">
          <w:rPr>
            <w:rStyle w:val="Hyperlink"/>
            <w:rFonts w:ascii="Times New Roman" w:hAnsi="Times New Roman" w:cs="Times New Roman"/>
            <w:lang w:val="en"/>
          </w:rPr>
          <w:t>-</w:t>
        </w:r>
        <w:proofErr w:type="spellStart"/>
        <w:r w:rsidRPr="00CE0968">
          <w:rPr>
            <w:rStyle w:val="Hyperlink"/>
            <w:rFonts w:ascii="Times New Roman" w:hAnsi="Times New Roman" w:cs="Times New Roman"/>
            <w:lang w:val="en"/>
          </w:rPr>
          <w:t>ShareAlike</w:t>
        </w:r>
        <w:proofErr w:type="spellEnd"/>
        <w:r w:rsidRPr="00CE0968">
          <w:rPr>
            <w:rStyle w:val="Hyperlink"/>
            <w:rFonts w:ascii="Times New Roman" w:hAnsi="Times New Roman" w:cs="Times New Roman"/>
            <w:lang w:val="en"/>
          </w:rPr>
          <w:t xml:space="preserve"> 4.0 International License</w:t>
        </w:r>
      </w:hyperlink>
      <w:r w:rsidRPr="00CE0968">
        <w:rPr>
          <w:rFonts w:ascii="Times New Roman" w:hAnsi="Times New Roman" w:cs="Times New Roman"/>
          <w:lang w:val="en"/>
        </w:rPr>
        <w:t>, except where otherwise noted.</w:t>
      </w:r>
    </w:p>
    <w:p w14:paraId="4BD20F1E"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 The US Department of Health and Human Services’ guidelines on vulnerable populations can be read at http://www.hhs.gov/ohrp/policy/populations. </w:t>
      </w:r>
    </w:p>
    <w:p w14:paraId="549AC884"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Thomas, Stefan (2010). </w:t>
      </w:r>
      <w:proofErr w:type="spellStart"/>
      <w:r w:rsidRPr="00CE0968">
        <w:rPr>
          <w:rFonts w:ascii="Times New Roman" w:hAnsi="Times New Roman" w:cs="Times New Roman"/>
        </w:rPr>
        <w:t>Ethnografie</w:t>
      </w:r>
      <w:proofErr w:type="spellEnd"/>
      <w:r w:rsidRPr="00CE0968">
        <w:rPr>
          <w:rFonts w:ascii="Times New Roman" w:hAnsi="Times New Roman" w:cs="Times New Roman"/>
        </w:rPr>
        <w:t xml:space="preserve">. In Günter </w:t>
      </w:r>
      <w:proofErr w:type="spellStart"/>
      <w:r w:rsidRPr="00CE0968">
        <w:rPr>
          <w:rFonts w:ascii="Times New Roman" w:hAnsi="Times New Roman" w:cs="Times New Roman"/>
        </w:rPr>
        <w:t>Mey</w:t>
      </w:r>
      <w:proofErr w:type="spellEnd"/>
      <w:r w:rsidRPr="00CE0968">
        <w:rPr>
          <w:rFonts w:ascii="Times New Roman" w:hAnsi="Times New Roman" w:cs="Times New Roman"/>
        </w:rPr>
        <w:t xml:space="preserve"> &amp; Katja </w:t>
      </w:r>
      <w:proofErr w:type="spellStart"/>
      <w:r w:rsidRPr="00CE0968">
        <w:rPr>
          <w:rFonts w:ascii="Times New Roman" w:hAnsi="Times New Roman" w:cs="Times New Roman"/>
        </w:rPr>
        <w:t>Mruck</w:t>
      </w:r>
      <w:proofErr w:type="spellEnd"/>
      <w:r w:rsidRPr="00CE0968">
        <w:rPr>
          <w:rFonts w:ascii="Times New Roman" w:hAnsi="Times New Roman" w:cs="Times New Roman"/>
        </w:rPr>
        <w:t xml:space="preserve"> (Eds.), </w:t>
      </w:r>
      <w:proofErr w:type="spellStart"/>
      <w:r w:rsidRPr="00CE0968">
        <w:rPr>
          <w:rFonts w:ascii="Times New Roman" w:hAnsi="Times New Roman" w:cs="Times New Roman"/>
          <w:i/>
          <w:iCs/>
        </w:rPr>
        <w:t>Handbuch</w:t>
      </w:r>
      <w:proofErr w:type="spellEnd"/>
      <w:r w:rsidRPr="00CE0968">
        <w:rPr>
          <w:rFonts w:ascii="Times New Roman" w:hAnsi="Times New Roman" w:cs="Times New Roman"/>
          <w:i/>
          <w:iCs/>
        </w:rPr>
        <w:t xml:space="preserve"> Qualitative </w:t>
      </w:r>
      <w:proofErr w:type="spellStart"/>
      <w:r w:rsidRPr="00CE0968">
        <w:rPr>
          <w:rFonts w:ascii="Times New Roman" w:hAnsi="Times New Roman" w:cs="Times New Roman"/>
          <w:i/>
          <w:iCs/>
        </w:rPr>
        <w:t>Forschung</w:t>
      </w:r>
      <w:proofErr w:type="spellEnd"/>
      <w:r w:rsidRPr="00CE0968">
        <w:rPr>
          <w:rFonts w:ascii="Times New Roman" w:hAnsi="Times New Roman" w:cs="Times New Roman"/>
          <w:i/>
          <w:iCs/>
        </w:rPr>
        <w:t xml:space="preserve"> in der </w:t>
      </w:r>
      <w:proofErr w:type="spellStart"/>
      <w:r w:rsidRPr="00CE0968">
        <w:rPr>
          <w:rFonts w:ascii="Times New Roman" w:hAnsi="Times New Roman" w:cs="Times New Roman"/>
          <w:i/>
          <w:iCs/>
        </w:rPr>
        <w:t>Psychologie</w:t>
      </w:r>
      <w:proofErr w:type="spellEnd"/>
      <w:r w:rsidRPr="00CE0968">
        <w:rPr>
          <w:rFonts w:ascii="Times New Roman" w:hAnsi="Times New Roman" w:cs="Times New Roman"/>
        </w:rPr>
        <w:t> (pp.462-475). Wiesbaden: VS Verlag/Springer.</w:t>
      </w:r>
    </w:p>
    <w:p w14:paraId="510B48E4"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Tillmann</w:t>
      </w:r>
      <w:proofErr w:type="spellEnd"/>
      <w:r w:rsidRPr="00CE0968">
        <w:rPr>
          <w:rFonts w:ascii="Times New Roman" w:hAnsi="Times New Roman" w:cs="Times New Roman"/>
        </w:rPr>
        <w:t>, Lisa M. (2009). Body and bulimia revisited: Reflections on "A Secret Life." </w:t>
      </w:r>
      <w:r w:rsidRPr="00CE0968">
        <w:rPr>
          <w:rFonts w:ascii="Times New Roman" w:hAnsi="Times New Roman" w:cs="Times New Roman"/>
          <w:i/>
          <w:iCs/>
        </w:rPr>
        <w:t>Journal of Applied Communication Research</w:t>
      </w:r>
      <w:r w:rsidRPr="00CE0968">
        <w:rPr>
          <w:rFonts w:ascii="Times New Roman" w:hAnsi="Times New Roman" w:cs="Times New Roman"/>
        </w:rPr>
        <w:t>,</w:t>
      </w:r>
      <w:r w:rsidRPr="00CE0968">
        <w:rPr>
          <w:rFonts w:ascii="Times New Roman" w:hAnsi="Times New Roman" w:cs="Times New Roman"/>
          <w:i/>
          <w:iCs/>
        </w:rPr>
        <w:t> 37</w:t>
      </w:r>
      <w:r w:rsidRPr="00CE0968">
        <w:rPr>
          <w:rFonts w:ascii="Times New Roman" w:hAnsi="Times New Roman" w:cs="Times New Roman"/>
        </w:rPr>
        <w:t>(1), 98-112.</w:t>
      </w:r>
    </w:p>
    <w:p w14:paraId="38F843F8"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Tillmann</w:t>
      </w:r>
      <w:proofErr w:type="spellEnd"/>
      <w:r w:rsidRPr="00CE0968">
        <w:rPr>
          <w:rFonts w:ascii="Times New Roman" w:hAnsi="Times New Roman" w:cs="Times New Roman"/>
        </w:rPr>
        <w:t>-Healy, Lisa M. (2001). </w:t>
      </w:r>
      <w:r w:rsidRPr="00CE0968">
        <w:rPr>
          <w:rFonts w:ascii="Times New Roman" w:hAnsi="Times New Roman" w:cs="Times New Roman"/>
          <w:i/>
          <w:iCs/>
        </w:rPr>
        <w:t>Between gay and straight: Understanding friendship across sexual orientation</w:t>
      </w:r>
      <w:r w:rsidRPr="00CE0968">
        <w:rPr>
          <w:rFonts w:ascii="Times New Roman" w:hAnsi="Times New Roman" w:cs="Times New Roman"/>
        </w:rPr>
        <w:t xml:space="preserve">. Walnut Creek, CA: </w:t>
      </w:r>
      <w:proofErr w:type="spellStart"/>
      <w:r w:rsidRPr="00CE0968">
        <w:rPr>
          <w:rFonts w:ascii="Times New Roman" w:hAnsi="Times New Roman" w:cs="Times New Roman"/>
        </w:rPr>
        <w:t>AltaMira</w:t>
      </w:r>
      <w:proofErr w:type="spellEnd"/>
      <w:r w:rsidRPr="00CE0968">
        <w:rPr>
          <w:rFonts w:ascii="Times New Roman" w:hAnsi="Times New Roman" w:cs="Times New Roman"/>
        </w:rPr>
        <w:t>.</w:t>
      </w:r>
    </w:p>
    <w:p w14:paraId="27546593"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Tillmann</w:t>
      </w:r>
      <w:proofErr w:type="spellEnd"/>
      <w:r w:rsidRPr="00CE0968">
        <w:rPr>
          <w:rFonts w:ascii="Times New Roman" w:hAnsi="Times New Roman" w:cs="Times New Roman"/>
        </w:rPr>
        <w:t>-Healy, Lisa M. (2003). Friendship as method.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 9</w:t>
      </w:r>
      <w:r w:rsidRPr="00CE0968">
        <w:rPr>
          <w:rFonts w:ascii="Times New Roman" w:hAnsi="Times New Roman" w:cs="Times New Roman"/>
        </w:rPr>
        <w:t>(5), 729-749.</w:t>
      </w:r>
    </w:p>
    <w:p w14:paraId="6BC98221"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Tololyan</w:t>
      </w:r>
      <w:proofErr w:type="spellEnd"/>
      <w:r w:rsidRPr="00CE0968">
        <w:rPr>
          <w:rFonts w:ascii="Times New Roman" w:hAnsi="Times New Roman" w:cs="Times New Roman"/>
        </w:rPr>
        <w:t>, Khachig (1987). Cultural narrative and the motivation of the terrorist. </w:t>
      </w:r>
      <w:r w:rsidRPr="00CE0968">
        <w:rPr>
          <w:rFonts w:ascii="Times New Roman" w:hAnsi="Times New Roman" w:cs="Times New Roman"/>
          <w:i/>
          <w:iCs/>
        </w:rPr>
        <w:t>The Journal of Strategic Studies</w:t>
      </w:r>
      <w:r w:rsidRPr="00CE0968">
        <w:rPr>
          <w:rFonts w:ascii="Times New Roman" w:hAnsi="Times New Roman" w:cs="Times New Roman"/>
        </w:rPr>
        <w:t>,</w:t>
      </w:r>
      <w:r w:rsidRPr="00CE0968">
        <w:rPr>
          <w:rFonts w:ascii="Times New Roman" w:hAnsi="Times New Roman" w:cs="Times New Roman"/>
          <w:i/>
          <w:iCs/>
        </w:rPr>
        <w:t> 10</w:t>
      </w:r>
      <w:r w:rsidRPr="00CE0968">
        <w:rPr>
          <w:rFonts w:ascii="Times New Roman" w:hAnsi="Times New Roman" w:cs="Times New Roman"/>
        </w:rPr>
        <w:t>(4), 217-233.</w:t>
      </w:r>
    </w:p>
    <w:p w14:paraId="2C922200"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Toyosaki</w:t>
      </w:r>
      <w:proofErr w:type="spellEnd"/>
      <w:r w:rsidRPr="00CE0968">
        <w:rPr>
          <w:rFonts w:ascii="Times New Roman" w:hAnsi="Times New Roman" w:cs="Times New Roman"/>
        </w:rPr>
        <w:t xml:space="preserve">, Satoshi &amp; </w:t>
      </w:r>
      <w:proofErr w:type="spellStart"/>
      <w:r w:rsidRPr="00CE0968">
        <w:rPr>
          <w:rFonts w:ascii="Times New Roman" w:hAnsi="Times New Roman" w:cs="Times New Roman"/>
        </w:rPr>
        <w:t>Pensoneau</w:t>
      </w:r>
      <w:proofErr w:type="spellEnd"/>
      <w:r w:rsidRPr="00CE0968">
        <w:rPr>
          <w:rFonts w:ascii="Times New Roman" w:hAnsi="Times New Roman" w:cs="Times New Roman"/>
        </w:rPr>
        <w:t xml:space="preserve">, Sandra (2005). </w:t>
      </w:r>
      <w:proofErr w:type="spellStart"/>
      <w:r w:rsidRPr="00CE0968">
        <w:rPr>
          <w:rFonts w:ascii="Times New Roman" w:hAnsi="Times New Roman" w:cs="Times New Roman"/>
        </w:rPr>
        <w:t>Yaezakura</w:t>
      </w:r>
      <w:proofErr w:type="spellEnd"/>
      <w:r w:rsidRPr="00CE0968">
        <w:rPr>
          <w:rFonts w:ascii="Times New Roman" w:hAnsi="Times New Roman" w:cs="Times New Roman"/>
        </w:rPr>
        <w:t>—Interpersonal culture analysis. </w:t>
      </w:r>
      <w:r w:rsidRPr="00CE0968">
        <w:rPr>
          <w:rFonts w:ascii="Times New Roman" w:hAnsi="Times New Roman" w:cs="Times New Roman"/>
          <w:i/>
          <w:iCs/>
        </w:rPr>
        <w:t>International Journal of Communication</w:t>
      </w:r>
      <w:r w:rsidRPr="00CE0968">
        <w:rPr>
          <w:rFonts w:ascii="Times New Roman" w:hAnsi="Times New Roman" w:cs="Times New Roman"/>
        </w:rPr>
        <w:t>,</w:t>
      </w:r>
      <w:r w:rsidRPr="00CE0968">
        <w:rPr>
          <w:rFonts w:ascii="Times New Roman" w:hAnsi="Times New Roman" w:cs="Times New Roman"/>
          <w:i/>
          <w:iCs/>
        </w:rPr>
        <w:t> 15</w:t>
      </w:r>
      <w:r w:rsidRPr="00CE0968">
        <w:rPr>
          <w:rFonts w:ascii="Times New Roman" w:hAnsi="Times New Roman" w:cs="Times New Roman"/>
        </w:rPr>
        <w:t>(1-2), 51-88.</w:t>
      </w:r>
    </w:p>
    <w:p w14:paraId="7D2F3722"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lastRenderedPageBreak/>
        <w:t>Toyosaki</w:t>
      </w:r>
      <w:proofErr w:type="spellEnd"/>
      <w:r w:rsidRPr="00CE0968">
        <w:rPr>
          <w:rFonts w:ascii="Times New Roman" w:hAnsi="Times New Roman" w:cs="Times New Roman"/>
        </w:rPr>
        <w:t xml:space="preserve">, Satoshi; </w:t>
      </w:r>
      <w:proofErr w:type="spellStart"/>
      <w:r w:rsidRPr="00CE0968">
        <w:rPr>
          <w:rFonts w:ascii="Times New Roman" w:hAnsi="Times New Roman" w:cs="Times New Roman"/>
        </w:rPr>
        <w:t>Pensoneau</w:t>
      </w:r>
      <w:proofErr w:type="spellEnd"/>
      <w:r w:rsidRPr="00CE0968">
        <w:rPr>
          <w:rFonts w:ascii="Times New Roman" w:hAnsi="Times New Roman" w:cs="Times New Roman"/>
        </w:rPr>
        <w:t>-Conway, Sandra L.; Wendt, Nathan A. &amp; Leathers, Kyle (2009). Community autoethnography: Compiling the personal and resituating whiteness. </w:t>
      </w:r>
      <w:r w:rsidRPr="00CE0968">
        <w:rPr>
          <w:rFonts w:ascii="Times New Roman" w:hAnsi="Times New Roman" w:cs="Times New Roman"/>
          <w:i/>
          <w:iCs/>
        </w:rPr>
        <w:t>Cultural Studies ↔ Critical Methodologies</w:t>
      </w:r>
      <w:r w:rsidRPr="00CE0968">
        <w:rPr>
          <w:rFonts w:ascii="Times New Roman" w:hAnsi="Times New Roman" w:cs="Times New Roman"/>
        </w:rPr>
        <w:t>,</w:t>
      </w:r>
      <w:r w:rsidRPr="00CE0968">
        <w:rPr>
          <w:rFonts w:ascii="Times New Roman" w:hAnsi="Times New Roman" w:cs="Times New Roman"/>
          <w:i/>
          <w:iCs/>
        </w:rPr>
        <w:t> 9</w:t>
      </w:r>
      <w:r w:rsidRPr="00CE0968">
        <w:rPr>
          <w:rFonts w:ascii="Times New Roman" w:hAnsi="Times New Roman" w:cs="Times New Roman"/>
        </w:rPr>
        <w:t>(1), 56-83.</w:t>
      </w:r>
    </w:p>
    <w:p w14:paraId="17630B17"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Trahar</w:t>
      </w:r>
      <w:proofErr w:type="spellEnd"/>
      <w:r w:rsidRPr="00CE0968">
        <w:rPr>
          <w:rFonts w:ascii="Times New Roman" w:hAnsi="Times New Roman" w:cs="Times New Roman"/>
        </w:rPr>
        <w:t>, Sheila (2009). Beyond the story itself: Narrative inquiry and autoethnography in intercultural research in higher education. </w:t>
      </w:r>
      <w:r w:rsidRPr="00CE0968">
        <w:rPr>
          <w:rFonts w:ascii="Times New Roman" w:hAnsi="Times New Roman" w:cs="Times New Roman"/>
          <w:i/>
          <w:iCs/>
        </w:rPr>
        <w:t xml:space="preserve">Forum Qualitative </w:t>
      </w:r>
      <w:proofErr w:type="spellStart"/>
      <w:r w:rsidRPr="00CE0968">
        <w:rPr>
          <w:rFonts w:ascii="Times New Roman" w:hAnsi="Times New Roman" w:cs="Times New Roman"/>
          <w:i/>
          <w:iCs/>
        </w:rPr>
        <w:t>Sozialforschung</w:t>
      </w:r>
      <w:proofErr w:type="spellEnd"/>
      <w:r w:rsidRPr="00CE0968">
        <w:rPr>
          <w:rFonts w:ascii="Times New Roman" w:hAnsi="Times New Roman" w:cs="Times New Roman"/>
          <w:i/>
          <w:iCs/>
        </w:rPr>
        <w:t xml:space="preserve"> / Forum: Qualitative Social Research</w:t>
      </w:r>
      <w:r w:rsidRPr="00CE0968">
        <w:rPr>
          <w:rFonts w:ascii="Times New Roman" w:hAnsi="Times New Roman" w:cs="Times New Roman"/>
        </w:rPr>
        <w:t>, </w:t>
      </w:r>
      <w:r w:rsidRPr="00CE0968">
        <w:rPr>
          <w:rFonts w:ascii="Times New Roman" w:hAnsi="Times New Roman" w:cs="Times New Roman"/>
          <w:i/>
          <w:iCs/>
        </w:rPr>
        <w:t>10</w:t>
      </w:r>
      <w:r w:rsidRPr="00CE0968">
        <w:rPr>
          <w:rFonts w:ascii="Times New Roman" w:hAnsi="Times New Roman" w:cs="Times New Roman"/>
        </w:rPr>
        <w:t>(1), Art. 30, </w:t>
      </w:r>
      <w:hyperlink r:id="rId104" w:tgtFrame="_blank" w:history="1">
        <w:r w:rsidRPr="00CE0968">
          <w:rPr>
            <w:rStyle w:val="Hyperlink"/>
            <w:rFonts w:ascii="Times New Roman" w:hAnsi="Times New Roman" w:cs="Times New Roman"/>
          </w:rPr>
          <w:t>http://nbn-resolving.de/urn:nbn:de:0114-fqs0901308</w:t>
        </w:r>
      </w:hyperlink>
      <w:r w:rsidRPr="00CE0968">
        <w:rPr>
          <w:rFonts w:ascii="Times New Roman" w:hAnsi="Times New Roman" w:cs="Times New Roman"/>
        </w:rPr>
        <w:t>.</w:t>
      </w:r>
    </w:p>
    <w:p w14:paraId="4DAD2F05"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Tullis Owen, Jillian A.; McRae, Chris; Adams, Tony E. &amp; Vitale, Alisha (2009). truth troubles.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 15</w:t>
      </w:r>
      <w:r w:rsidRPr="00CE0968">
        <w:rPr>
          <w:rFonts w:ascii="Times New Roman" w:hAnsi="Times New Roman" w:cs="Times New Roman"/>
        </w:rPr>
        <w:t>(1), 178-200.</w:t>
      </w:r>
    </w:p>
    <w:p w14:paraId="07F1BF77"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US Department of Health and Human Services. (1993). Institutional review board guidebook glossary. Retrieved from http://www.hhs.gov/ohrp/archive/irb/irb_glossary.htm </w:t>
      </w:r>
    </w:p>
    <w:p w14:paraId="604AFA3E"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US Department of Health and Human Services. (1993). Institutional review board guidebook glossary. Retrieved from http://www.hhs.gov/ohrp/archive/irb/irb_glossary.htm </w:t>
      </w:r>
    </w:p>
    <w:p w14:paraId="376EF756"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US Department of Health and Human Services. (2009). Code of federal regulations (45 CFR 46). The full set of requirements for informed consent can be read at http://www.hhs.gov/ohrp/humansubjects/guidance/45cfr46.html#46.116. </w:t>
      </w:r>
    </w:p>
    <w:p w14:paraId="37137DC7" w14:textId="77777777" w:rsidR="00D91945" w:rsidRDefault="00D91945" w:rsidP="00D91945">
      <w:pPr>
        <w:ind w:hanging="720"/>
        <w:rPr>
          <w:rFonts w:ascii="Times New Roman" w:hAnsi="Times New Roman" w:cs="Times New Roman"/>
        </w:rPr>
      </w:pPr>
      <w:r w:rsidRPr="00CE0968">
        <w:rPr>
          <w:rFonts w:ascii="Times New Roman" w:hAnsi="Times New Roman" w:cs="Times New Roman"/>
        </w:rPr>
        <w:t>Valenzuela, Angela (1999). </w:t>
      </w:r>
      <w:r w:rsidRPr="00CE0968">
        <w:rPr>
          <w:rFonts w:ascii="Times New Roman" w:hAnsi="Times New Roman" w:cs="Times New Roman"/>
          <w:i/>
          <w:iCs/>
        </w:rPr>
        <w:t>Subtractive schooling: U.S.-Mexican youth and the politics of caring</w:t>
      </w:r>
      <w:r w:rsidRPr="00CE0968">
        <w:rPr>
          <w:rFonts w:ascii="Times New Roman" w:hAnsi="Times New Roman" w:cs="Times New Roman"/>
        </w:rPr>
        <w:t>. Albany: State University of New York Press.</w:t>
      </w:r>
    </w:p>
    <w:p w14:paraId="01CD057A" w14:textId="77777777" w:rsidR="00D91945" w:rsidRPr="00F35E2C" w:rsidRDefault="00D91945" w:rsidP="00D91945">
      <w:pPr>
        <w:ind w:hanging="720"/>
        <w:rPr>
          <w:rFonts w:ascii="Times New Roman" w:hAnsi="Times New Roman" w:cs="Times New Roman"/>
        </w:rPr>
      </w:pPr>
      <w:r w:rsidRPr="00CE0968">
        <w:rPr>
          <w:rFonts w:ascii="Times New Roman" w:hAnsi="Times New Roman" w:cs="Times New Roman"/>
          <w:lang w:val="en"/>
        </w:rPr>
        <w:t xml:space="preserve">Van </w:t>
      </w:r>
      <w:proofErr w:type="spellStart"/>
      <w:r w:rsidRPr="00CE0968">
        <w:rPr>
          <w:rFonts w:ascii="Times New Roman" w:hAnsi="Times New Roman" w:cs="Times New Roman"/>
          <w:lang w:val="en"/>
        </w:rPr>
        <w:t>Maanen</w:t>
      </w:r>
      <w:proofErr w:type="spellEnd"/>
      <w:r w:rsidRPr="00CE0968">
        <w:rPr>
          <w:rFonts w:ascii="Times New Roman" w:hAnsi="Times New Roman" w:cs="Times New Roman"/>
          <w:lang w:val="en"/>
        </w:rPr>
        <w:t xml:space="preserve">, J. (2003). </w:t>
      </w:r>
      <w:r w:rsidRPr="00CE0968">
        <w:rPr>
          <w:rFonts w:ascii="Times New Roman" w:hAnsi="Times New Roman" w:cs="Times New Roman"/>
          <w:i/>
          <w:iCs/>
          <w:lang w:val="en"/>
        </w:rPr>
        <w:t xml:space="preserve">Tales from the field: On writing ethnography </w:t>
      </w:r>
      <w:r w:rsidRPr="00CE0968">
        <w:rPr>
          <w:rFonts w:ascii="Times New Roman" w:hAnsi="Times New Roman" w:cs="Times New Roman"/>
          <w:lang w:val="en"/>
        </w:rPr>
        <w:t>(2</w:t>
      </w:r>
      <w:r w:rsidRPr="00CE0968">
        <w:rPr>
          <w:rFonts w:ascii="Times New Roman" w:hAnsi="Times New Roman" w:cs="Times New Roman"/>
          <w:vertAlign w:val="superscript"/>
          <w:lang w:val="en"/>
        </w:rPr>
        <w:t>nd</w:t>
      </w:r>
      <w:r w:rsidRPr="00CE0968">
        <w:rPr>
          <w:rFonts w:ascii="Times New Roman" w:hAnsi="Times New Roman" w:cs="Times New Roman"/>
          <w:lang w:val="en"/>
        </w:rPr>
        <w:t xml:space="preserve"> edition). Chicago: University of Chicago Press.</w:t>
      </w:r>
    </w:p>
    <w:p w14:paraId="3157C60E"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 xml:space="preserve">Van </w:t>
      </w:r>
      <w:proofErr w:type="spellStart"/>
      <w:r w:rsidRPr="00CE0968">
        <w:rPr>
          <w:rFonts w:ascii="Times New Roman" w:hAnsi="Times New Roman" w:cs="Times New Roman"/>
        </w:rPr>
        <w:t>Maanen</w:t>
      </w:r>
      <w:proofErr w:type="spellEnd"/>
      <w:r w:rsidRPr="00CE0968">
        <w:rPr>
          <w:rFonts w:ascii="Times New Roman" w:hAnsi="Times New Roman" w:cs="Times New Roman"/>
        </w:rPr>
        <w:t>, John (1988). </w:t>
      </w:r>
      <w:r w:rsidRPr="00CE0968">
        <w:rPr>
          <w:rFonts w:ascii="Times New Roman" w:hAnsi="Times New Roman" w:cs="Times New Roman"/>
          <w:i/>
          <w:iCs/>
        </w:rPr>
        <w:t>Tales of the field: On writing ethnography</w:t>
      </w:r>
      <w:r w:rsidRPr="00CE0968">
        <w:rPr>
          <w:rFonts w:ascii="Times New Roman" w:hAnsi="Times New Roman" w:cs="Times New Roman"/>
        </w:rPr>
        <w:t>. Chicago: University of Chicago Press.</w:t>
      </w:r>
    </w:p>
    <w:p w14:paraId="0F55CB6D"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Vande</w:t>
      </w:r>
      <w:proofErr w:type="spellEnd"/>
      <w:r w:rsidRPr="00CE0968">
        <w:rPr>
          <w:rFonts w:ascii="Times New Roman" w:hAnsi="Times New Roman" w:cs="Times New Roman"/>
        </w:rPr>
        <w:t xml:space="preserve"> Berg, Leah &amp; Trujillo, Nick (2008). </w:t>
      </w:r>
      <w:r w:rsidRPr="00CE0968">
        <w:rPr>
          <w:rFonts w:ascii="Times New Roman" w:hAnsi="Times New Roman" w:cs="Times New Roman"/>
          <w:i/>
          <w:iCs/>
        </w:rPr>
        <w:t>Cancer and death: A love story in two voices</w:t>
      </w:r>
      <w:r w:rsidRPr="00CE0968">
        <w:rPr>
          <w:rFonts w:ascii="Times New Roman" w:hAnsi="Times New Roman" w:cs="Times New Roman"/>
        </w:rPr>
        <w:t>. Cresskill, NJ: Hampton Press.</w:t>
      </w:r>
    </w:p>
    <w:p w14:paraId="6969D1E3" w14:textId="77777777" w:rsidR="00D91945" w:rsidRPr="00CE0968" w:rsidRDefault="00D91945" w:rsidP="00D91945">
      <w:pPr>
        <w:ind w:hanging="720"/>
        <w:rPr>
          <w:rFonts w:ascii="Times New Roman" w:hAnsi="Times New Roman" w:cs="Times New Roman"/>
        </w:rPr>
      </w:pPr>
      <w:proofErr w:type="spellStart"/>
      <w:r w:rsidRPr="00CE0968">
        <w:rPr>
          <w:rFonts w:ascii="Times New Roman" w:hAnsi="Times New Roman" w:cs="Times New Roman"/>
        </w:rPr>
        <w:t>Vidich</w:t>
      </w:r>
      <w:proofErr w:type="spellEnd"/>
      <w:r w:rsidRPr="00CE0968">
        <w:rPr>
          <w:rFonts w:ascii="Times New Roman" w:hAnsi="Times New Roman" w:cs="Times New Roman"/>
        </w:rPr>
        <w:t xml:space="preserve">, Arthur &amp; </w:t>
      </w:r>
      <w:proofErr w:type="spellStart"/>
      <w:r w:rsidRPr="00CE0968">
        <w:rPr>
          <w:rFonts w:ascii="Times New Roman" w:hAnsi="Times New Roman" w:cs="Times New Roman"/>
        </w:rPr>
        <w:t>Bensman</w:t>
      </w:r>
      <w:proofErr w:type="spellEnd"/>
      <w:r w:rsidRPr="00CE0968">
        <w:rPr>
          <w:rFonts w:ascii="Times New Roman" w:hAnsi="Times New Roman" w:cs="Times New Roman"/>
        </w:rPr>
        <w:t>, Joseph (1958). </w:t>
      </w:r>
      <w:r w:rsidRPr="00CE0968">
        <w:rPr>
          <w:rFonts w:ascii="Times New Roman" w:hAnsi="Times New Roman" w:cs="Times New Roman"/>
          <w:i/>
          <w:iCs/>
        </w:rPr>
        <w:t>Small town in mass society</w:t>
      </w:r>
      <w:r w:rsidRPr="00CE0968">
        <w:rPr>
          <w:rFonts w:ascii="Times New Roman" w:hAnsi="Times New Roman" w:cs="Times New Roman"/>
        </w:rPr>
        <w:t>. Princeton: Princeton University Press.</w:t>
      </w:r>
    </w:p>
    <w:p w14:paraId="1BA5E1A3"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Von Hoffman, N. (1970, January 30). Sociological snoopers. The Washington Post, p. B1. </w:t>
      </w:r>
    </w:p>
    <w:p w14:paraId="45CDDA78"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Von Hoffman, N. (1970, January 30). Sociological snoopers. The Washington Post, p. B1. </w:t>
      </w:r>
    </w:p>
    <w:p w14:paraId="0543068A" w14:textId="77777777" w:rsidR="00D91945" w:rsidRPr="00F41DF7" w:rsidRDefault="00D91945" w:rsidP="00D91945">
      <w:pPr>
        <w:ind w:hanging="720"/>
        <w:rPr>
          <w:rFonts w:ascii="Times New Roman" w:hAnsi="Times New Roman" w:cs="Times New Roman"/>
        </w:rPr>
      </w:pPr>
      <w:r w:rsidRPr="00F41DF7">
        <w:rPr>
          <w:rFonts w:ascii="Times New Roman" w:hAnsi="Times New Roman" w:cs="Times New Roman"/>
        </w:rPr>
        <w:t xml:space="preserve">Warwick, D. P. (1973). Tearoom trade: Means and ends in social research. Hastings Center Studies, 1, 39–49. See also Warwick, D. P. (1982). Types of harm in social research. In T. L. Beauchamp, R. R. </w:t>
      </w:r>
      <w:proofErr w:type="spellStart"/>
      <w:r w:rsidRPr="00F41DF7">
        <w:rPr>
          <w:rFonts w:ascii="Times New Roman" w:hAnsi="Times New Roman" w:cs="Times New Roman"/>
        </w:rPr>
        <w:t>Faden</w:t>
      </w:r>
      <w:proofErr w:type="spellEnd"/>
      <w:r w:rsidRPr="00F41DF7">
        <w:rPr>
          <w:rFonts w:ascii="Times New Roman" w:hAnsi="Times New Roman" w:cs="Times New Roman"/>
        </w:rPr>
        <w:t xml:space="preserve">, R. J. Wallace Jr., &amp; L. Walters (Eds.), Ethical issues in social science research. Baltimore, MD: Johns Hopkins University Press. </w:t>
      </w:r>
    </w:p>
    <w:p w14:paraId="775E808B" w14:textId="77777777" w:rsidR="00D91945" w:rsidRPr="00CE0968" w:rsidRDefault="00D91945" w:rsidP="00D91945">
      <w:pPr>
        <w:ind w:hanging="720"/>
        <w:rPr>
          <w:rFonts w:ascii="Times New Roman" w:hAnsi="Times New Roman" w:cs="Times New Roman"/>
        </w:rPr>
      </w:pPr>
      <w:r w:rsidRPr="00F41DF7">
        <w:rPr>
          <w:rFonts w:ascii="Times New Roman" w:hAnsi="Times New Roman" w:cs="Times New Roman"/>
        </w:rPr>
        <w:t xml:space="preserve"> Warwick, D. P. (1973). Tearoom trade: Means and ends in social research. Hastings Center Studies, 1, 39–49. See also Warwick, D. P. (1982). Types of harm in social research. In T. L. Beauchamp, R. R. </w:t>
      </w:r>
      <w:proofErr w:type="spellStart"/>
      <w:r w:rsidRPr="00F41DF7">
        <w:rPr>
          <w:rFonts w:ascii="Times New Roman" w:hAnsi="Times New Roman" w:cs="Times New Roman"/>
        </w:rPr>
        <w:t>Faden</w:t>
      </w:r>
      <w:proofErr w:type="spellEnd"/>
      <w:r w:rsidRPr="00F41DF7">
        <w:rPr>
          <w:rFonts w:ascii="Times New Roman" w:hAnsi="Times New Roman" w:cs="Times New Roman"/>
        </w:rPr>
        <w:t>, R. J. Wallace Jr., &amp; L. Walters (Eds.), Ethical issues in social science research. Baltimore, MD: Johns Hopkins University Press.</w:t>
      </w:r>
    </w:p>
    <w:p w14:paraId="7F765F56"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Wood, Julie T. (2009). </w:t>
      </w:r>
      <w:r w:rsidRPr="00CE0968">
        <w:rPr>
          <w:rFonts w:ascii="Times New Roman" w:hAnsi="Times New Roman" w:cs="Times New Roman"/>
          <w:i/>
          <w:iCs/>
        </w:rPr>
        <w:t>Gendered lives: Communication, gender, and culture</w:t>
      </w:r>
      <w:r w:rsidRPr="00CE0968">
        <w:rPr>
          <w:rFonts w:ascii="Times New Roman" w:hAnsi="Times New Roman" w:cs="Times New Roman"/>
        </w:rPr>
        <w:t>. Boston: Wadsworth.</w:t>
      </w:r>
    </w:p>
    <w:p w14:paraId="7B345668" w14:textId="77777777" w:rsidR="00D91945" w:rsidRPr="00CE0968" w:rsidRDefault="00D91945" w:rsidP="00D91945">
      <w:pPr>
        <w:ind w:hanging="720"/>
        <w:rPr>
          <w:rFonts w:ascii="Times New Roman" w:hAnsi="Times New Roman" w:cs="Times New Roman"/>
        </w:rPr>
      </w:pPr>
      <w:r w:rsidRPr="00CE0968">
        <w:rPr>
          <w:rFonts w:ascii="Times New Roman" w:hAnsi="Times New Roman" w:cs="Times New Roman"/>
        </w:rPr>
        <w:t>Wyatt, Jonathan (2008). No longer loss: Autoethnographic stammering. </w:t>
      </w:r>
      <w:r w:rsidRPr="00CE0968">
        <w:rPr>
          <w:rFonts w:ascii="Times New Roman" w:hAnsi="Times New Roman" w:cs="Times New Roman"/>
          <w:i/>
          <w:iCs/>
        </w:rPr>
        <w:t>Qualitative Inquiry</w:t>
      </w:r>
      <w:r w:rsidRPr="00CE0968">
        <w:rPr>
          <w:rFonts w:ascii="Times New Roman" w:hAnsi="Times New Roman" w:cs="Times New Roman"/>
        </w:rPr>
        <w:t>,</w:t>
      </w:r>
      <w:r w:rsidRPr="00CE0968">
        <w:rPr>
          <w:rFonts w:ascii="Times New Roman" w:hAnsi="Times New Roman" w:cs="Times New Roman"/>
          <w:i/>
          <w:iCs/>
        </w:rPr>
        <w:t> 14</w:t>
      </w:r>
      <w:r w:rsidRPr="00CE0968">
        <w:rPr>
          <w:rFonts w:ascii="Times New Roman" w:hAnsi="Times New Roman" w:cs="Times New Roman"/>
        </w:rPr>
        <w:t>(6), 955-967.</w:t>
      </w:r>
    </w:p>
    <w:p w14:paraId="21E3D0D7" w14:textId="77777777" w:rsidR="00D91945" w:rsidRDefault="00D91945" w:rsidP="00D91945">
      <w:pPr>
        <w:ind w:hanging="720"/>
        <w:rPr>
          <w:rFonts w:ascii="Times New Roman" w:hAnsi="Times New Roman" w:cs="Times New Roman"/>
        </w:rPr>
      </w:pPr>
      <w:proofErr w:type="spellStart"/>
      <w:r w:rsidRPr="00CE0968">
        <w:rPr>
          <w:rFonts w:ascii="Times New Roman" w:hAnsi="Times New Roman" w:cs="Times New Roman"/>
        </w:rPr>
        <w:t>Zaner</w:t>
      </w:r>
      <w:proofErr w:type="spellEnd"/>
      <w:r w:rsidRPr="00CE0968">
        <w:rPr>
          <w:rFonts w:ascii="Times New Roman" w:hAnsi="Times New Roman" w:cs="Times New Roman"/>
        </w:rPr>
        <w:t>, Richard M. (2004). </w:t>
      </w:r>
      <w:r w:rsidRPr="00CE0968">
        <w:rPr>
          <w:rFonts w:ascii="Times New Roman" w:hAnsi="Times New Roman" w:cs="Times New Roman"/>
          <w:i/>
          <w:iCs/>
        </w:rPr>
        <w:t>Conversations on the edge: Narratives of ethics and illness</w:t>
      </w:r>
      <w:r w:rsidRPr="00CE0968">
        <w:rPr>
          <w:rFonts w:ascii="Times New Roman" w:hAnsi="Times New Roman" w:cs="Times New Roman"/>
        </w:rPr>
        <w:t>. Washington, DC: Georgetown University Press.</w:t>
      </w:r>
    </w:p>
    <w:p w14:paraId="226BF7D1" w14:textId="77777777" w:rsidR="00D91945" w:rsidRDefault="00D91945"/>
    <w:p w14:paraId="0B22B87F" w14:textId="77777777" w:rsidR="00D91945" w:rsidRDefault="00D91945"/>
    <w:p w14:paraId="0007BE24" w14:textId="77777777" w:rsidR="00D91945" w:rsidRDefault="00D91945">
      <w:pPr>
        <w:rPr>
          <w:rFonts w:ascii="Times New Roman" w:eastAsiaTheme="majorEastAsia" w:hAnsi="Times New Roman" w:cs="Times New Roman"/>
          <w:color w:val="2F5496" w:themeColor="accent1" w:themeShade="BF"/>
          <w:sz w:val="32"/>
          <w:szCs w:val="32"/>
        </w:rPr>
      </w:pPr>
      <w:r>
        <w:rPr>
          <w:rFonts w:ascii="Times New Roman" w:hAnsi="Times New Roman" w:cs="Times New Roman"/>
        </w:rPr>
        <w:br w:type="page"/>
      </w:r>
    </w:p>
    <w:p w14:paraId="538D3912" w14:textId="69B280E5" w:rsidR="00D91945" w:rsidRPr="00AB638E" w:rsidRDefault="00D91945" w:rsidP="00D91945">
      <w:pPr>
        <w:pStyle w:val="Heading1"/>
        <w:spacing w:before="0"/>
        <w:jc w:val="center"/>
        <w:rPr>
          <w:rFonts w:ascii="Times New Roman" w:hAnsi="Times New Roman" w:cs="Times New Roman"/>
        </w:rPr>
      </w:pPr>
      <w:r w:rsidRPr="00AB638E">
        <w:rPr>
          <w:rFonts w:ascii="Times New Roman" w:hAnsi="Times New Roman" w:cs="Times New Roman"/>
        </w:rPr>
        <w:lastRenderedPageBreak/>
        <w:t>Author</w:t>
      </w:r>
      <w:r>
        <w:rPr>
          <w:rFonts w:ascii="Times New Roman" w:hAnsi="Times New Roman" w:cs="Times New Roman"/>
        </w:rPr>
        <w:t xml:space="preserve"> Biographies</w:t>
      </w:r>
    </w:p>
    <w:p w14:paraId="6BD34220" w14:textId="77777777" w:rsidR="00D91945" w:rsidRPr="00AB638E" w:rsidRDefault="00D91945" w:rsidP="00D91945">
      <w:pPr>
        <w:rPr>
          <w:rFonts w:ascii="Times New Roman" w:hAnsi="Times New Roman" w:cs="Times New Roman"/>
          <w:color w:val="D4D4D4"/>
        </w:rPr>
      </w:pPr>
      <w:r w:rsidRPr="00AB638E">
        <w:rPr>
          <w:rFonts w:ascii="Times New Roman" w:hAnsi="Times New Roman" w:cs="Times New Roman"/>
          <w:color w:val="D4D4D4"/>
        </w:rPr>
        <w:t xml:space="preserve">  </w:t>
      </w:r>
    </w:p>
    <w:p w14:paraId="229CB69E" w14:textId="77777777" w:rsidR="00D91945" w:rsidRDefault="00D91945" w:rsidP="00D91945">
      <w:pPr>
        <w:pStyle w:val="Heading2"/>
        <w:rPr>
          <w:rFonts w:ascii="Times New Roman" w:hAnsi="Times New Roman" w:cs="Times New Roman"/>
          <w:color w:val="D4D4D4"/>
        </w:rPr>
      </w:pPr>
      <w:r w:rsidRPr="00AB638E">
        <w:rPr>
          <w:rFonts w:ascii="Times New Roman" w:hAnsi="Times New Roman" w:cs="Times New Roman"/>
        </w:rPr>
        <w:t>Editors</w:t>
      </w:r>
    </w:p>
    <w:p w14:paraId="7116A1F0" w14:textId="77777777" w:rsidR="00D91945" w:rsidRPr="00AB638E" w:rsidRDefault="00D91945" w:rsidP="00D91945"/>
    <w:p w14:paraId="0C4F6C87" w14:textId="77777777" w:rsidR="00D91945" w:rsidRPr="00AB638E" w:rsidRDefault="00D91945" w:rsidP="00D91945">
      <w:pPr>
        <w:pStyle w:val="Heading3"/>
        <w:rPr>
          <w:rFonts w:ascii="Times New Roman" w:hAnsi="Times New Roman" w:cs="Times New Roman"/>
        </w:rPr>
      </w:pPr>
      <w:r w:rsidRPr="00AB638E">
        <w:rPr>
          <w:rFonts w:ascii="Times New Roman" w:hAnsi="Times New Roman" w:cs="Times New Roman"/>
        </w:rPr>
        <w:t>Ryan Coughlan</w:t>
      </w:r>
    </w:p>
    <w:p w14:paraId="5E031FBA" w14:textId="77777777" w:rsidR="00D91945" w:rsidRPr="00AB638E" w:rsidRDefault="00D91945" w:rsidP="00D91945">
      <w:pPr>
        <w:rPr>
          <w:rFonts w:ascii="Times New Roman" w:hAnsi="Times New Roman" w:cs="Times New Roman"/>
        </w:rPr>
      </w:pPr>
      <w:r w:rsidRPr="00AB638E">
        <w:rPr>
          <w:rFonts w:ascii="Times New Roman" w:hAnsi="Times New Roman" w:cs="Times New Roman"/>
        </w:rPr>
        <w:t>[No bio included]</w:t>
      </w:r>
    </w:p>
    <w:p w14:paraId="38E5149D" w14:textId="77777777" w:rsidR="00D91945" w:rsidRPr="00AB638E" w:rsidRDefault="00D91945" w:rsidP="00D91945">
      <w:pPr>
        <w:rPr>
          <w:rFonts w:ascii="Times New Roman" w:hAnsi="Times New Roman" w:cs="Times New Roman"/>
        </w:rPr>
      </w:pPr>
    </w:p>
    <w:p w14:paraId="4754900B" w14:textId="77777777" w:rsidR="00D91945" w:rsidRPr="00AB638E" w:rsidRDefault="00D91945" w:rsidP="00D91945">
      <w:pPr>
        <w:pStyle w:val="Heading3"/>
        <w:rPr>
          <w:rFonts w:ascii="Times New Roman" w:hAnsi="Times New Roman" w:cs="Times New Roman"/>
        </w:rPr>
      </w:pPr>
      <w:r w:rsidRPr="00AB638E">
        <w:rPr>
          <w:rFonts w:ascii="Times New Roman" w:hAnsi="Times New Roman" w:cs="Times New Roman"/>
        </w:rPr>
        <w:t xml:space="preserve">Mary </w:t>
      </w:r>
      <w:proofErr w:type="spellStart"/>
      <w:r w:rsidRPr="00AB638E">
        <w:rPr>
          <w:rFonts w:ascii="Times New Roman" w:hAnsi="Times New Roman" w:cs="Times New Roman"/>
        </w:rPr>
        <w:t>Gatta</w:t>
      </w:r>
      <w:proofErr w:type="spellEnd"/>
    </w:p>
    <w:p w14:paraId="1226DB01" w14:textId="77777777" w:rsidR="00D91945" w:rsidRPr="0003013A" w:rsidRDefault="00D91945" w:rsidP="00D91945">
      <w:pPr>
        <w:pStyle w:val="bodytex2"/>
        <w:spacing w:before="0" w:beforeAutospacing="0" w:after="0" w:afterAutospacing="0"/>
        <w:rPr>
          <w:rFonts w:ascii="Times New Roman" w:hAnsi="Times New Roman"/>
          <w:b w:val="0"/>
          <w:sz w:val="24"/>
          <w:szCs w:val="24"/>
        </w:rPr>
      </w:pPr>
      <w:r>
        <w:rPr>
          <w:noProof/>
        </w:rPr>
        <w:drawing>
          <wp:inline distT="0" distB="0" distL="0" distR="0" wp14:anchorId="75F191A4" wp14:editId="4F6D42F4">
            <wp:extent cx="948148" cy="1268371"/>
            <wp:effectExtent l="0" t="0" r="4445" b="8255"/>
            <wp:docPr id="15" name="Picture 15" descr="C:\Users\Tanaxya\Downloads\Gat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naxya\Downloads\Gatta.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flipH="1">
                      <a:off x="0" y="0"/>
                      <a:ext cx="949513" cy="1270196"/>
                    </a:xfrm>
                    <a:prstGeom prst="rect">
                      <a:avLst/>
                    </a:prstGeom>
                    <a:noFill/>
                    <a:ln>
                      <a:noFill/>
                    </a:ln>
                  </pic:spPr>
                </pic:pic>
              </a:graphicData>
            </a:graphic>
          </wp:inline>
        </w:drawing>
      </w:r>
      <w:r w:rsidRPr="007D3CE4">
        <w:rPr>
          <w:rFonts w:ascii="Century" w:hAnsi="Century"/>
        </w:rPr>
        <w:t xml:space="preserve"> </w:t>
      </w:r>
      <w:r>
        <w:rPr>
          <w:rFonts w:ascii="Century" w:hAnsi="Century"/>
          <w:sz w:val="24"/>
          <w:szCs w:val="24"/>
        </w:rPr>
        <w:t xml:space="preserve"> </w:t>
      </w:r>
      <w:r w:rsidRPr="0003013A">
        <w:rPr>
          <w:rFonts w:ascii="Times New Roman" w:hAnsi="Times New Roman"/>
          <w:b w:val="0"/>
          <w:sz w:val="24"/>
          <w:szCs w:val="24"/>
        </w:rPr>
        <w:t xml:space="preserve">Dr. Mary </w:t>
      </w:r>
      <w:proofErr w:type="spellStart"/>
      <w:r w:rsidRPr="0003013A">
        <w:rPr>
          <w:rFonts w:ascii="Times New Roman" w:hAnsi="Times New Roman"/>
          <w:b w:val="0"/>
          <w:sz w:val="24"/>
          <w:szCs w:val="24"/>
        </w:rPr>
        <w:t>Gatta</w:t>
      </w:r>
      <w:proofErr w:type="spellEnd"/>
      <w:r w:rsidRPr="0003013A">
        <w:rPr>
          <w:rFonts w:ascii="Times New Roman" w:hAnsi="Times New Roman"/>
          <w:b w:val="0"/>
          <w:sz w:val="24"/>
          <w:szCs w:val="24"/>
        </w:rPr>
        <w:t xml:space="preserve"> joined the faculty as an Associate Professor of Sociology at Stella and Charles Guttman Community College at CUNY in </w:t>
      </w:r>
      <w:proofErr w:type="gramStart"/>
      <w:r w:rsidRPr="0003013A">
        <w:rPr>
          <w:rFonts w:ascii="Times New Roman" w:hAnsi="Times New Roman"/>
          <w:b w:val="0"/>
          <w:sz w:val="24"/>
          <w:szCs w:val="24"/>
        </w:rPr>
        <w:t>August,</w:t>
      </w:r>
      <w:proofErr w:type="gramEnd"/>
      <w:r w:rsidRPr="0003013A">
        <w:rPr>
          <w:rFonts w:ascii="Times New Roman" w:hAnsi="Times New Roman"/>
          <w:b w:val="0"/>
          <w:sz w:val="24"/>
          <w:szCs w:val="24"/>
        </w:rPr>
        <w:t xml:space="preserve"> 2015. Prior to her appointment at CUNY, Mary served as a Senior Scholar at Wider Opportunities for Women in Washington DC, and as Director of Gender and Workforce Policy at the Center for Women and Work, and Assistant Professor of Labor Studies at Rutgers University. In addition, she recently served on New Jersey Governor Phil Murphy's Labor and Workforce Development Transition Team. At Guttman, Mary teaches social science courses and served as the Faculty Coordinator of Ethnographies of Work, a key component of Guttman’s First Year Experience. In addition, Mary has </w:t>
      </w:r>
      <w:proofErr w:type="gramStart"/>
      <w:r w:rsidRPr="0003013A">
        <w:rPr>
          <w:rFonts w:ascii="Times New Roman" w:hAnsi="Times New Roman"/>
          <w:b w:val="0"/>
          <w:sz w:val="24"/>
          <w:szCs w:val="24"/>
        </w:rPr>
        <w:t>lead</w:t>
      </w:r>
      <w:proofErr w:type="gramEnd"/>
      <w:r w:rsidRPr="0003013A">
        <w:rPr>
          <w:rFonts w:ascii="Times New Roman" w:hAnsi="Times New Roman"/>
          <w:b w:val="0"/>
          <w:sz w:val="24"/>
          <w:szCs w:val="24"/>
        </w:rPr>
        <w:t xml:space="preserve"> a series of evaluation of workforce and education programs including US Department of Labor programs, New Jersey Department of Labor and Workforce Development programs, along with various education and workforce programs. Her book Waiting on Retirement: Aging and Economic Insecurity in Low Wage Work, on the experiences of older low wage workers as they march toward a semblance of retirement, was released in October 2018 from Stanford University Press. Mary has explored the experiences of women as they navigate One-Stop Career Centers, which led to Mary’s book, All I Want Is a Job! Unemployed Women Navigating the Public Workforce System. She is also the author of Not Just Getting By: The New Era of Flexible Workforce Development and Juggling Food and Feelings: Emotional Balance in the Workplace and is the editor of A US Skills System for the 21st Century: Innovations in Workforce Education and Development. In addition to books Mary has published numerous academic articles, policy papers and op-eds.</w:t>
      </w:r>
    </w:p>
    <w:p w14:paraId="77AC6324" w14:textId="77777777" w:rsidR="00D91945" w:rsidRPr="00483A9E" w:rsidRDefault="00D91945" w:rsidP="00D91945">
      <w:pPr>
        <w:rPr>
          <w:color w:val="D4D4D4"/>
        </w:rPr>
      </w:pPr>
    </w:p>
    <w:p w14:paraId="2B645B9C" w14:textId="77777777" w:rsidR="00D91945" w:rsidRPr="00AB638E" w:rsidRDefault="00D91945" w:rsidP="00D91945">
      <w:pPr>
        <w:pStyle w:val="Heading3"/>
        <w:rPr>
          <w:rFonts w:ascii="Times New Roman" w:hAnsi="Times New Roman" w:cs="Times New Roman"/>
          <w:color w:val="D4D4D4"/>
        </w:rPr>
      </w:pPr>
      <w:r w:rsidRPr="00AB638E">
        <w:rPr>
          <w:rFonts w:ascii="Times New Roman" w:hAnsi="Times New Roman" w:cs="Times New Roman"/>
        </w:rPr>
        <w:lastRenderedPageBreak/>
        <w:t>Alia R. Tyner-Mullings</w:t>
      </w:r>
    </w:p>
    <w:p w14:paraId="441B2924" w14:textId="77777777" w:rsidR="00D91945" w:rsidRPr="0003013A" w:rsidRDefault="00D91945" w:rsidP="00D91945">
      <w:pPr>
        <w:pStyle w:val="NoSpacing"/>
        <w:rPr>
          <w:rFonts w:cs="Times New Roman"/>
          <w:szCs w:val="24"/>
        </w:rPr>
      </w:pPr>
      <w:r>
        <w:rPr>
          <w:rFonts w:ascii="Calibri" w:eastAsia="Times New Roman" w:hAnsi="Calibri" w:cs="Times New Roman"/>
          <w:noProof/>
          <w:color w:val="000000"/>
          <w:shd w:val="clear" w:color="auto" w:fill="FFFFFF"/>
        </w:rPr>
        <w:drawing>
          <wp:inline distT="0" distB="0" distL="0" distR="0" wp14:anchorId="2DAE6694" wp14:editId="16A210BD">
            <wp:extent cx="1362710" cy="1475105"/>
            <wp:effectExtent l="0" t="0" r="8890" b="0"/>
            <wp:docPr id="16" name="Picture 16" descr="C:\Users\Tanaxya\AppData\Local\Microsoft\Windows\INetCache\Content.Word\Bio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naxya\AppData\Local\Microsoft\Windows\INetCache\Content.Word\Bio photo.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62710" cy="1475105"/>
                    </a:xfrm>
                    <a:prstGeom prst="rect">
                      <a:avLst/>
                    </a:prstGeom>
                    <a:noFill/>
                    <a:ln>
                      <a:noFill/>
                    </a:ln>
                  </pic:spPr>
                </pic:pic>
              </a:graphicData>
            </a:graphic>
          </wp:inline>
        </w:drawing>
      </w:r>
      <w:r>
        <w:t xml:space="preserve"> </w:t>
      </w:r>
      <w:r w:rsidRPr="0003013A">
        <w:rPr>
          <w:rFonts w:cs="Times New Roman"/>
          <w:szCs w:val="24"/>
        </w:rPr>
        <w:t xml:space="preserve">Dr. Alia R. Tyner-Mullings is an Associate Professor of Sociology and founding faculty member at Stella and Charles Guttman Community College. Dr. Tyner-Mullings earned a doctorate in sociology at the CUNY Graduate Center, where she researched alternative educational models. She has taught graduate and undergraduate courses on sociology, deviance, statistics, and education. After finishing her doctorate, she was a post-doctoral fellow at Teachers College, Columbia University, in the Sociology and Education Program and then an assistant professor at Morgan State University in Baltimore, Maryland. A former high school math teacher, Dr. Tyner-Mullings serves on assessment committees for three small high schools. She has also worked as a statistical or academic consultant for several colleges and universities. Her research interests include the sociology of education, communities, sports, and cultural studies. Dr. Tyner-Mullings recently authored Enter the Alternative School: Critical Answers to Questions in Urban Education (Paradigm Publishers, 2014), an in-depth examination of </w:t>
      </w:r>
      <w:proofErr w:type="gramStart"/>
      <w:r w:rsidRPr="0003013A">
        <w:rPr>
          <w:rFonts w:cs="Times New Roman"/>
          <w:szCs w:val="24"/>
        </w:rPr>
        <w:t>public school</w:t>
      </w:r>
      <w:proofErr w:type="gramEnd"/>
      <w:r w:rsidRPr="0003013A">
        <w:rPr>
          <w:rFonts w:cs="Times New Roman"/>
          <w:szCs w:val="24"/>
        </w:rPr>
        <w:t xml:space="preserve"> alternatives to traditional educational models. She is also the co-editor of Critical Small Schools: Beyond Privatization in New York City Urban Educational Reform (Information Age, 2012) and co-author of Writing for Emerging Sociologists (Sage Publications, Inc., 2013).</w:t>
      </w:r>
    </w:p>
    <w:p w14:paraId="61063021" w14:textId="77777777" w:rsidR="00D91945" w:rsidRPr="00483A9E" w:rsidRDefault="00D91945" w:rsidP="00D91945">
      <w:pPr>
        <w:rPr>
          <w:color w:val="D4D4D4"/>
        </w:rPr>
      </w:pPr>
    </w:p>
    <w:p w14:paraId="45714AF6" w14:textId="77777777" w:rsidR="00D91945" w:rsidRPr="00AB638E" w:rsidRDefault="00D91945" w:rsidP="00D91945">
      <w:pPr>
        <w:pStyle w:val="Heading2"/>
        <w:spacing w:before="0"/>
        <w:rPr>
          <w:rFonts w:ascii="Times New Roman" w:hAnsi="Times New Roman" w:cs="Times New Roman"/>
        </w:rPr>
      </w:pPr>
      <w:r w:rsidRPr="00AB638E">
        <w:rPr>
          <w:rFonts w:ascii="Times New Roman" w:hAnsi="Times New Roman" w:cs="Times New Roman"/>
        </w:rPr>
        <w:t xml:space="preserve"> Additional Authors</w:t>
      </w:r>
    </w:p>
    <w:p w14:paraId="2655AB91" w14:textId="77777777" w:rsidR="00D91945" w:rsidRPr="00AB638E" w:rsidRDefault="00D91945" w:rsidP="00D91945">
      <w:pPr>
        <w:rPr>
          <w:rFonts w:ascii="Times New Roman" w:hAnsi="Times New Roman" w:cs="Times New Roman"/>
        </w:rPr>
      </w:pPr>
    </w:p>
    <w:p w14:paraId="3FA3983E" w14:textId="77777777" w:rsidR="00D91945" w:rsidRPr="00AB638E" w:rsidRDefault="00D91945" w:rsidP="00D91945">
      <w:pPr>
        <w:pStyle w:val="Heading3"/>
        <w:rPr>
          <w:rFonts w:ascii="Times New Roman" w:hAnsi="Times New Roman" w:cs="Times New Roman"/>
        </w:rPr>
      </w:pPr>
      <w:r w:rsidRPr="00AB638E">
        <w:rPr>
          <w:rFonts w:ascii="Times New Roman" w:hAnsi="Times New Roman" w:cs="Times New Roman"/>
        </w:rPr>
        <w:t>Kristina Baines</w:t>
      </w:r>
    </w:p>
    <w:p w14:paraId="02144FB4" w14:textId="77777777" w:rsidR="00D91945" w:rsidRPr="0003013A" w:rsidRDefault="00D91945" w:rsidP="00D91945">
      <w:pPr>
        <w:rPr>
          <w:rFonts w:ascii="Times New Roman" w:hAnsi="Times New Roman" w:cs="Times New Roman"/>
        </w:rPr>
      </w:pPr>
      <w:r>
        <w:rPr>
          <w:rFonts w:ascii="Calibri" w:hAnsi="Calibri" w:cs="Calibri"/>
          <w:noProof/>
          <w:color w:val="222222"/>
          <w:shd w:val="clear" w:color="auto" w:fill="FFFFFF"/>
        </w:rPr>
        <w:drawing>
          <wp:inline distT="0" distB="0" distL="0" distR="0" wp14:anchorId="6268D563" wp14:editId="6ACF0FAD">
            <wp:extent cx="1543361" cy="1543361"/>
            <wp:effectExtent l="0" t="0" r="0" b="0"/>
            <wp:docPr id="17" name="Picture 17" descr="C:\Users\Tanaxya\Downloads\baines-headshot-fro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axya\Downloads\baines-headshot-front.jpe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548453" cy="1548453"/>
                    </a:xfrm>
                    <a:prstGeom prst="rect">
                      <a:avLst/>
                    </a:prstGeom>
                    <a:noFill/>
                    <a:ln>
                      <a:noFill/>
                    </a:ln>
                  </pic:spPr>
                </pic:pic>
              </a:graphicData>
            </a:graphic>
          </wp:inline>
        </w:drawing>
      </w:r>
      <w:r>
        <w:rPr>
          <w:rFonts w:ascii="Calibri" w:hAnsi="Calibri" w:cs="Calibri"/>
          <w:color w:val="222222"/>
          <w:shd w:val="clear" w:color="auto" w:fill="FFFFFF"/>
        </w:rPr>
        <w:t xml:space="preserve"> </w:t>
      </w:r>
      <w:r w:rsidRPr="0003013A">
        <w:rPr>
          <w:rFonts w:ascii="Times New Roman" w:hAnsi="Times New Roman" w:cs="Times New Roman"/>
        </w:rPr>
        <w:t xml:space="preserve">Dr. Kristina Baines is a sociocultural anthropologist whose research focuses on the relationship between traditional ecological practices and health in indigenous communities, primarily in Belize and the US. She is committed to using innovative methods in her teaching </w:t>
      </w:r>
      <w:proofErr w:type="gramStart"/>
      <w:r w:rsidRPr="0003013A">
        <w:rPr>
          <w:rFonts w:ascii="Times New Roman" w:hAnsi="Times New Roman" w:cs="Times New Roman"/>
        </w:rPr>
        <w:t>and also</w:t>
      </w:r>
      <w:proofErr w:type="gramEnd"/>
      <w:r w:rsidRPr="0003013A">
        <w:rPr>
          <w:rFonts w:ascii="Times New Roman" w:hAnsi="Times New Roman" w:cs="Times New Roman"/>
        </w:rPr>
        <w:t xml:space="preserve"> in making anthropology relevant and accessible to a wide audience.  She is Assistant Professor of Anthropology at Guttman Community College, CUNY and Director of Anthropology for Cool Anthropology.  </w:t>
      </w:r>
    </w:p>
    <w:p w14:paraId="60426350" w14:textId="77777777" w:rsidR="00D91945" w:rsidRPr="00483A9E" w:rsidRDefault="00D91945" w:rsidP="00D91945">
      <w:pPr>
        <w:rPr>
          <w:color w:val="D4D4D4"/>
        </w:rPr>
      </w:pPr>
    </w:p>
    <w:p w14:paraId="6DE8D35F" w14:textId="77777777" w:rsidR="00D91945" w:rsidRPr="00AB638E" w:rsidRDefault="00D91945" w:rsidP="00D91945">
      <w:pPr>
        <w:pStyle w:val="Heading3"/>
        <w:rPr>
          <w:rFonts w:ascii="Times New Roman" w:hAnsi="Times New Roman" w:cs="Times New Roman"/>
        </w:rPr>
      </w:pPr>
      <w:r w:rsidRPr="00AB638E">
        <w:rPr>
          <w:rFonts w:ascii="Times New Roman" w:hAnsi="Times New Roman" w:cs="Times New Roman"/>
        </w:rPr>
        <w:lastRenderedPageBreak/>
        <w:t xml:space="preserve">Samuel </w:t>
      </w:r>
      <w:proofErr w:type="spellStart"/>
      <w:r w:rsidRPr="00AB638E">
        <w:rPr>
          <w:rFonts w:ascii="Times New Roman" w:hAnsi="Times New Roman" w:cs="Times New Roman"/>
        </w:rPr>
        <w:t>Finesurrey</w:t>
      </w:r>
      <w:proofErr w:type="spellEnd"/>
    </w:p>
    <w:p w14:paraId="1801D628" w14:textId="77777777" w:rsidR="00D91945" w:rsidRDefault="00D91945" w:rsidP="00D91945">
      <w:pPr>
        <w:rPr>
          <w:rFonts w:ascii="Calibri" w:eastAsia="Times New Roman" w:hAnsi="Calibri" w:cs="Times New Roman"/>
          <w:color w:val="000000"/>
          <w:shd w:val="clear" w:color="auto" w:fill="FFFFFF"/>
        </w:rPr>
      </w:pPr>
      <w:r>
        <w:rPr>
          <w:noProof/>
          <w:color w:val="CE9178"/>
        </w:rPr>
        <w:drawing>
          <wp:inline distT="0" distB="0" distL="0" distR="0" wp14:anchorId="24996273" wp14:editId="2B62A055">
            <wp:extent cx="1369491" cy="1423269"/>
            <wp:effectExtent l="0" t="0" r="2540" b="5715"/>
            <wp:docPr id="18" name="Picture 18" descr="C:\Users\Tanaxya\Downloads\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axya\Downloads\image1(1).jpe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388821" cy="1443358"/>
                    </a:xfrm>
                    <a:prstGeom prst="rect">
                      <a:avLst/>
                    </a:prstGeom>
                    <a:noFill/>
                    <a:ln>
                      <a:noFill/>
                    </a:ln>
                  </pic:spPr>
                </pic:pic>
              </a:graphicData>
            </a:graphic>
          </wp:inline>
        </w:drawing>
      </w:r>
      <w:r>
        <w:rPr>
          <w:rFonts w:ascii="Calibri" w:eastAsia="Times New Roman" w:hAnsi="Calibri" w:cs="Times New Roman"/>
          <w:color w:val="000000"/>
          <w:shd w:val="clear" w:color="auto" w:fill="FFFFFF"/>
        </w:rPr>
        <w:t xml:space="preserve"> </w:t>
      </w:r>
      <w:r w:rsidRPr="0003013A">
        <w:rPr>
          <w:rFonts w:ascii="Times New Roman" w:hAnsi="Times New Roman" w:cs="Times New Roman"/>
        </w:rPr>
        <w:t xml:space="preserve">Dr. Samuel </w:t>
      </w:r>
      <w:proofErr w:type="spellStart"/>
      <w:r w:rsidRPr="0003013A">
        <w:rPr>
          <w:rFonts w:ascii="Times New Roman" w:hAnsi="Times New Roman" w:cs="Times New Roman"/>
        </w:rPr>
        <w:t>Finesurrey</w:t>
      </w:r>
      <w:proofErr w:type="spellEnd"/>
      <w:r w:rsidRPr="0003013A">
        <w:rPr>
          <w:rFonts w:ascii="Times New Roman" w:hAnsi="Times New Roman" w:cs="Times New Roman"/>
        </w:rPr>
        <w:t xml:space="preserve">, an adjunct professor at Guttman Community College, collaborated with students to </w:t>
      </w:r>
      <w:proofErr w:type="gramStart"/>
      <w:r w:rsidRPr="0003013A">
        <w:rPr>
          <w:rFonts w:ascii="Times New Roman" w:hAnsi="Times New Roman" w:cs="Times New Roman"/>
        </w:rPr>
        <w:t>found</w:t>
      </w:r>
      <w:proofErr w:type="gramEnd"/>
      <w:r w:rsidRPr="0003013A">
        <w:rPr>
          <w:rFonts w:ascii="Times New Roman" w:hAnsi="Times New Roman" w:cs="Times New Roman"/>
        </w:rPr>
        <w:t xml:space="preserve"> the Guttman Community College Undergraduate Oral History Project. He received his Ph.D. in Cuban History with a specialization in Oral Histories from University of North Carolina, Chapel Hill in 2018. Utilizing his background in Oral Histories, </w:t>
      </w:r>
      <w:proofErr w:type="spellStart"/>
      <w:r w:rsidRPr="0003013A">
        <w:rPr>
          <w:rFonts w:ascii="Times New Roman" w:hAnsi="Times New Roman" w:cs="Times New Roman"/>
        </w:rPr>
        <w:t>Finesurrey</w:t>
      </w:r>
      <w:proofErr w:type="spellEnd"/>
      <w:r w:rsidRPr="0003013A">
        <w:rPr>
          <w:rFonts w:ascii="Times New Roman" w:hAnsi="Times New Roman" w:cs="Times New Roman"/>
        </w:rPr>
        <w:t xml:space="preserve"> became the Director of Oral Histories on a </w:t>
      </w:r>
      <w:proofErr w:type="gramStart"/>
      <w:r w:rsidRPr="0003013A">
        <w:rPr>
          <w:rFonts w:ascii="Times New Roman" w:hAnsi="Times New Roman" w:cs="Times New Roman"/>
        </w:rPr>
        <w:t>five year</w:t>
      </w:r>
      <w:proofErr w:type="gramEnd"/>
      <w:r w:rsidRPr="0003013A">
        <w:rPr>
          <w:rFonts w:ascii="Times New Roman" w:hAnsi="Times New Roman" w:cs="Times New Roman"/>
        </w:rPr>
        <w:t xml:space="preserve"> longitudinal inquiry by faculty, undergraduates and high schoolers studying Latinx students moving through the New York City’s public high schools. Further, </w:t>
      </w:r>
      <w:proofErr w:type="spellStart"/>
      <w:r w:rsidRPr="0003013A">
        <w:rPr>
          <w:rFonts w:ascii="Times New Roman" w:hAnsi="Times New Roman" w:cs="Times New Roman"/>
        </w:rPr>
        <w:t>Finesurrey</w:t>
      </w:r>
      <w:proofErr w:type="spellEnd"/>
      <w:r w:rsidRPr="0003013A">
        <w:rPr>
          <w:rFonts w:ascii="Times New Roman" w:hAnsi="Times New Roman" w:cs="Times New Roman"/>
        </w:rPr>
        <w:t xml:space="preserve"> has served as an advisor who, with a select group of his students participated in the Texas based </w:t>
      </w:r>
      <w:hyperlink r:id="rId109" w:history="1">
        <w:r w:rsidRPr="0003013A">
          <w:rPr>
            <w:rFonts w:ascii="Times New Roman" w:hAnsi="Times New Roman" w:cs="Times New Roman"/>
          </w:rPr>
          <w:t>HBCU Truth &amp; Reconciliation Oral History Project</w:t>
        </w:r>
      </w:hyperlink>
      <w:r w:rsidRPr="0003013A">
        <w:rPr>
          <w:rFonts w:ascii="Times New Roman" w:hAnsi="Times New Roman" w:cs="Times New Roman"/>
        </w:rPr>
        <w:t xml:space="preserve">, led by Black Christian organizations and Historically Black Colleges, dedicated to gathering stories of marginalized communities. By working with undergraduates and youth researchers to collect and archive oral histories </w:t>
      </w:r>
      <w:proofErr w:type="spellStart"/>
      <w:r w:rsidRPr="0003013A">
        <w:rPr>
          <w:rFonts w:ascii="Times New Roman" w:hAnsi="Times New Roman" w:cs="Times New Roman"/>
        </w:rPr>
        <w:t>Finesurrey</w:t>
      </w:r>
      <w:proofErr w:type="spellEnd"/>
      <w:r w:rsidRPr="0003013A">
        <w:rPr>
          <w:rFonts w:ascii="Times New Roman" w:hAnsi="Times New Roman" w:cs="Times New Roman"/>
        </w:rPr>
        <w:t xml:space="preserve"> seeks to encourage students to become producers of knowledge and scholar-activists who focus on social (in)justice, racial, gendered and transnational journeys, in building a new local digital canon. This kind of academic engagement revealed to students and </w:t>
      </w:r>
      <w:proofErr w:type="spellStart"/>
      <w:r w:rsidRPr="0003013A">
        <w:rPr>
          <w:rFonts w:ascii="Times New Roman" w:hAnsi="Times New Roman" w:cs="Times New Roman"/>
        </w:rPr>
        <w:t>Finesurrey</w:t>
      </w:r>
      <w:proofErr w:type="spellEnd"/>
      <w:r w:rsidRPr="0003013A">
        <w:rPr>
          <w:rFonts w:ascii="Times New Roman" w:hAnsi="Times New Roman" w:cs="Times New Roman"/>
        </w:rPr>
        <w:t xml:space="preserve"> not only the relevance of historical study to their own lives, but also the diversity of experiences existing within the same classroom, campus community, city and region.</w:t>
      </w:r>
      <w:r>
        <w:rPr>
          <w:rFonts w:ascii="Calibri" w:eastAsia="Times New Roman" w:hAnsi="Calibri" w:cs="Times New Roman"/>
          <w:color w:val="000000"/>
          <w:shd w:val="clear" w:color="auto" w:fill="FFFFFF"/>
        </w:rPr>
        <w:t xml:space="preserve"> </w:t>
      </w:r>
    </w:p>
    <w:p w14:paraId="19816CB6" w14:textId="77777777" w:rsidR="00D91945" w:rsidRPr="00483A9E" w:rsidRDefault="00D91945" w:rsidP="00D91945">
      <w:pPr>
        <w:rPr>
          <w:color w:val="D4D4D4"/>
        </w:rPr>
      </w:pPr>
    </w:p>
    <w:p w14:paraId="15345417" w14:textId="77777777" w:rsidR="00D91945" w:rsidRPr="00AB638E" w:rsidRDefault="00D91945" w:rsidP="00D91945">
      <w:pPr>
        <w:pStyle w:val="Heading3"/>
        <w:rPr>
          <w:rFonts w:ascii="Times New Roman" w:hAnsi="Times New Roman" w:cs="Times New Roman"/>
        </w:rPr>
      </w:pPr>
      <w:r w:rsidRPr="00AB638E">
        <w:rPr>
          <w:rFonts w:ascii="Times New Roman" w:hAnsi="Times New Roman" w:cs="Times New Roman"/>
        </w:rPr>
        <w:t xml:space="preserve">Nicole </w:t>
      </w:r>
      <w:proofErr w:type="spellStart"/>
      <w:r w:rsidRPr="00AB638E">
        <w:rPr>
          <w:rFonts w:ascii="Times New Roman" w:hAnsi="Times New Roman" w:cs="Times New Roman"/>
        </w:rPr>
        <w:t>Kras</w:t>
      </w:r>
      <w:proofErr w:type="spellEnd"/>
    </w:p>
    <w:p w14:paraId="138AC542" w14:textId="77777777" w:rsidR="00D91945" w:rsidRPr="0003013A" w:rsidRDefault="00D91945" w:rsidP="00D91945">
      <w:pPr>
        <w:rPr>
          <w:rFonts w:ascii="Times New Roman" w:hAnsi="Times New Roman" w:cs="Times New Roman"/>
        </w:rPr>
      </w:pPr>
      <w:r>
        <w:rPr>
          <w:noProof/>
          <w:color w:val="D4D4D4"/>
        </w:rPr>
        <w:drawing>
          <wp:inline distT="0" distB="0" distL="0" distR="0" wp14:anchorId="01ADAC75" wp14:editId="7EBDB43B">
            <wp:extent cx="1232942" cy="1468608"/>
            <wp:effectExtent l="0" t="0" r="5715" b="0"/>
            <wp:docPr id="19" name="Picture 19" descr="C:\Users\Tanaxya\Downloads\Kra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axya\Downloads\Kras (2).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flipH="1">
                      <a:off x="0" y="0"/>
                      <a:ext cx="1280617" cy="1525396"/>
                    </a:xfrm>
                    <a:prstGeom prst="rect">
                      <a:avLst/>
                    </a:prstGeom>
                    <a:noFill/>
                    <a:ln>
                      <a:noFill/>
                    </a:ln>
                  </pic:spPr>
                </pic:pic>
              </a:graphicData>
            </a:graphic>
          </wp:inline>
        </w:drawing>
      </w:r>
      <w:r>
        <w:rPr>
          <w:color w:val="CE9178"/>
        </w:rPr>
        <w:t xml:space="preserve"> </w:t>
      </w:r>
      <w:r w:rsidRPr="0003013A">
        <w:rPr>
          <w:rFonts w:ascii="Times New Roman" w:hAnsi="Times New Roman" w:cs="Times New Roman"/>
        </w:rPr>
        <w:t xml:space="preserve">Nicole </w:t>
      </w:r>
      <w:proofErr w:type="spellStart"/>
      <w:r w:rsidRPr="0003013A">
        <w:rPr>
          <w:rFonts w:ascii="Times New Roman" w:hAnsi="Times New Roman" w:cs="Times New Roman"/>
        </w:rPr>
        <w:t>Kras</w:t>
      </w:r>
      <w:proofErr w:type="spellEnd"/>
      <w:r w:rsidRPr="0003013A">
        <w:rPr>
          <w:rFonts w:ascii="Times New Roman" w:hAnsi="Times New Roman" w:cs="Times New Roman"/>
        </w:rPr>
        <w:t xml:space="preserve">, Ph.D., HS-BCP is an Assistant Professor of Human Services and Program Coordinator at Guttman Community College, City University of New York. She received a BA in psychology and a MA in art therapy from Albertus Magnus College and a MS in education and a Certificate of Advance Graduate Study as a Classroom Teacher Specialist from Southern Connecticut State University. Nicole received her Ph.D. in adult learning and development from Lesley University. Her current areas of research are exploring the benefits of nature-based experiences on community college campuses and human services program design and development. </w:t>
      </w:r>
    </w:p>
    <w:p w14:paraId="4DBE32B8" w14:textId="77777777" w:rsidR="00D91945" w:rsidRPr="00AB638E" w:rsidRDefault="00D91945" w:rsidP="00D91945">
      <w:pPr>
        <w:rPr>
          <w:rFonts w:ascii="Times New Roman" w:hAnsi="Times New Roman" w:cs="Times New Roman"/>
          <w:color w:val="D4D4D4"/>
        </w:rPr>
      </w:pPr>
    </w:p>
    <w:p w14:paraId="14AC8A19" w14:textId="77777777" w:rsidR="00D91945" w:rsidRPr="00AB638E" w:rsidRDefault="00D91945" w:rsidP="00D91945">
      <w:pPr>
        <w:pStyle w:val="Heading3"/>
        <w:rPr>
          <w:rFonts w:ascii="Times New Roman" w:hAnsi="Times New Roman" w:cs="Times New Roman"/>
          <w:color w:val="D4D4D4"/>
        </w:rPr>
      </w:pPr>
      <w:r w:rsidRPr="00AB638E">
        <w:rPr>
          <w:rFonts w:ascii="Times New Roman" w:hAnsi="Times New Roman" w:cs="Times New Roman"/>
        </w:rPr>
        <w:t>Maureen Sheridan</w:t>
      </w:r>
    </w:p>
    <w:p w14:paraId="3A3A9EF9" w14:textId="77777777" w:rsidR="00D91945" w:rsidRPr="00AB638E" w:rsidRDefault="00D91945" w:rsidP="00D91945">
      <w:pPr>
        <w:rPr>
          <w:rFonts w:ascii="Times New Roman" w:hAnsi="Times New Roman" w:cs="Times New Roman"/>
        </w:rPr>
      </w:pPr>
      <w:r w:rsidRPr="00AB638E">
        <w:rPr>
          <w:rFonts w:ascii="Times New Roman" w:hAnsi="Times New Roman" w:cs="Times New Roman"/>
        </w:rPr>
        <w:t>[No bio included]</w:t>
      </w:r>
    </w:p>
    <w:p w14:paraId="116B118E" w14:textId="319F271A" w:rsidR="00D91945" w:rsidRDefault="00D91945"/>
    <w:p w14:paraId="3CB8F0EE" w14:textId="77777777" w:rsidR="00156822" w:rsidRPr="00156822" w:rsidRDefault="00156822" w:rsidP="00156822">
      <w:pPr>
        <w:pStyle w:val="Heading3"/>
        <w:spacing w:before="0"/>
        <w:rPr>
          <w:rFonts w:ascii="Times New Roman" w:eastAsia="Times New Roman" w:hAnsi="Times New Roman" w:cs="Times New Roman"/>
          <w:highlight w:val="white"/>
        </w:rPr>
      </w:pPr>
      <w:r w:rsidRPr="00156822">
        <w:rPr>
          <w:rFonts w:ascii="Times New Roman" w:eastAsia="Times New Roman" w:hAnsi="Times New Roman" w:cs="Times New Roman"/>
          <w:highlight w:val="white"/>
        </w:rPr>
        <w:lastRenderedPageBreak/>
        <w:t>Camila Torres Rivera</w:t>
      </w:r>
    </w:p>
    <w:p w14:paraId="1E056751" w14:textId="3AD5F230" w:rsidR="00156822" w:rsidRPr="00156822" w:rsidRDefault="00156822" w:rsidP="00156822">
      <w:pPr>
        <w:rPr>
          <w:rFonts w:ascii="Times New Roman" w:eastAsia="Times New Roman" w:hAnsi="Times New Roman" w:cs="Times New Roman"/>
          <w:color w:val="212121"/>
          <w:highlight w:val="white"/>
        </w:rPr>
      </w:pPr>
      <w:r w:rsidRPr="00156822">
        <w:rPr>
          <w:rFonts w:ascii="Times New Roman" w:eastAsia="Times New Roman" w:hAnsi="Times New Roman" w:cs="Times New Roman"/>
          <w:b/>
          <w:color w:val="212121"/>
          <w:highlight w:val="white"/>
        </w:rPr>
        <w:t>Camila Torres Rivera</w:t>
      </w:r>
      <w:r w:rsidRPr="00156822">
        <w:rPr>
          <w:rFonts w:ascii="Times New Roman" w:eastAsia="Times New Roman" w:hAnsi="Times New Roman" w:cs="Times New Roman"/>
          <w:color w:val="212121"/>
          <w:highlight w:val="white"/>
        </w:rPr>
        <w:t xml:space="preserve"> is a member of the mathematics faculty, having joined the Guttman community in September 2012.  In addition to teaching statistics courses, Camila acts as Guttman’s Area Coordinator for Academic Support and the Title V Grant Coordinator. She also teaches graduate courses at Hunter College’s School of Education in the Department of Educational Foundations and the Department of Curriculum and Teaching.</w:t>
      </w:r>
    </w:p>
    <w:p w14:paraId="50595D8D" w14:textId="77777777" w:rsidR="00156822" w:rsidRPr="00156822" w:rsidRDefault="00156822" w:rsidP="00156822">
      <w:pPr>
        <w:rPr>
          <w:rFonts w:ascii="Times New Roman" w:eastAsia="Times New Roman" w:hAnsi="Times New Roman" w:cs="Times New Roman"/>
          <w:color w:val="212121"/>
          <w:highlight w:val="white"/>
        </w:rPr>
      </w:pPr>
      <w:r w:rsidRPr="00156822">
        <w:rPr>
          <w:rFonts w:ascii="Times New Roman" w:eastAsia="Times New Roman" w:hAnsi="Times New Roman" w:cs="Times New Roman"/>
          <w:color w:val="212121"/>
          <w:highlight w:val="white"/>
        </w:rPr>
        <w:tab/>
        <w:t>During her 22 years of teaching experience, Camila has acquired extensive experience in pedagogy, curriculum writing, and professional development. After earning her M.A. in Educational Psychology with a concentration in Quantitative Research Methods from Hunter College, she parlayed her pedagogical and mathematics content knowledge into the field of educational research. She has successfully led program evaluation work for numerous Guttman Community College grants (Complete College Innovation Fund, EDUCAUSE, The Gates Foundation, Title V, and Perkins) and for READ East Harlem (funded by the Brooke Astor Fund for New York City Public Education).</w:t>
      </w:r>
    </w:p>
    <w:p w14:paraId="0F66BCDF" w14:textId="77777777" w:rsidR="00156822" w:rsidRPr="00156822" w:rsidRDefault="00156822" w:rsidP="00156822">
      <w:pPr>
        <w:ind w:firstLine="720"/>
        <w:rPr>
          <w:rFonts w:ascii="Times New Roman" w:eastAsia="Times New Roman" w:hAnsi="Times New Roman" w:cs="Times New Roman"/>
          <w:color w:val="212121"/>
          <w:highlight w:val="white"/>
        </w:rPr>
      </w:pPr>
      <w:r w:rsidRPr="00156822">
        <w:rPr>
          <w:rFonts w:ascii="Times New Roman" w:eastAsia="Times New Roman" w:hAnsi="Times New Roman" w:cs="Times New Roman"/>
          <w:color w:val="212121"/>
          <w:highlight w:val="white"/>
        </w:rPr>
        <w:t xml:space="preserve">Her research interests include the use of alternative instructional models, teachers’ perceptions and adherence to standardized evaluations, classroom assessment practices, and the use of technology in the feedback cycle. </w:t>
      </w:r>
    </w:p>
    <w:p w14:paraId="41ABCFFC" w14:textId="5B91004E" w:rsidR="00156822" w:rsidRDefault="00156822"/>
    <w:p w14:paraId="64C5982F" w14:textId="473ADBA3" w:rsidR="00156822" w:rsidRDefault="00156822" w:rsidP="00156822">
      <w:pPr>
        <w:pStyle w:val="Heading3"/>
      </w:pPr>
      <w:r>
        <w:t>April Burns</w:t>
      </w:r>
      <w:bookmarkStart w:id="17" w:name="_GoBack"/>
      <w:bookmarkEnd w:id="17"/>
    </w:p>
    <w:p w14:paraId="3808D4B5" w14:textId="77777777" w:rsidR="00156822" w:rsidRDefault="00156822"/>
    <w:sectPr w:rsidR="00156822" w:rsidSect="000A4F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A9BD6" w14:textId="77777777" w:rsidR="00605712" w:rsidRDefault="00605712" w:rsidP="00306DAA">
      <w:r>
        <w:separator/>
      </w:r>
    </w:p>
  </w:endnote>
  <w:endnote w:type="continuationSeparator" w:id="0">
    <w:p w14:paraId="16AB430E" w14:textId="77777777" w:rsidR="00605712" w:rsidRDefault="00605712" w:rsidP="0030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ahoma"/>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6A78D" w14:textId="77777777" w:rsidR="00605712" w:rsidRDefault="00605712" w:rsidP="00306DAA">
      <w:r>
        <w:separator/>
      </w:r>
    </w:p>
  </w:footnote>
  <w:footnote w:type="continuationSeparator" w:id="0">
    <w:p w14:paraId="705A7376" w14:textId="77777777" w:rsidR="00605712" w:rsidRDefault="00605712" w:rsidP="00306DAA">
      <w:r>
        <w:continuationSeparator/>
      </w:r>
    </w:p>
  </w:footnote>
  <w:footnote w:id="1">
    <w:p w14:paraId="49103EEB"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In order to make this </w:t>
      </w:r>
      <w:proofErr w:type="gramStart"/>
      <w:r w:rsidRPr="005E11F4">
        <w:rPr>
          <w:rFonts w:ascii="Times New Roman" w:hAnsi="Times New Roman" w:cs="Times New Roman"/>
        </w:rPr>
        <w:t>book  as</w:t>
      </w:r>
      <w:proofErr w:type="gramEnd"/>
      <w:r w:rsidRPr="005E11F4">
        <w:rPr>
          <w:rFonts w:ascii="Times New Roman" w:hAnsi="Times New Roman" w:cs="Times New Roman"/>
        </w:rPr>
        <w:t xml:space="preserve"> relevant to our students as possible, the author added this paragraph</w:t>
      </w:r>
    </w:p>
  </w:footnote>
  <w:footnote w:id="2">
    <w:p w14:paraId="0F4A9125"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w:t>
      </w:r>
      <w:r w:rsidRPr="005E11F4">
        <w:rPr>
          <w:rFonts w:ascii="Times New Roman" w:hAnsi="Times New Roman" w:cs="Times New Roman"/>
          <w:color w:val="000000"/>
          <w:shd w:val="clear" w:color="auto" w:fill="FFFFFF"/>
        </w:rPr>
        <w:t xml:space="preserve">Ellis, Carolyn; Adams, Tony E. &amp; </w:t>
      </w:r>
      <w:proofErr w:type="spellStart"/>
      <w:r w:rsidRPr="005E11F4">
        <w:rPr>
          <w:rFonts w:ascii="Times New Roman" w:hAnsi="Times New Roman" w:cs="Times New Roman"/>
          <w:color w:val="000000"/>
          <w:shd w:val="clear" w:color="auto" w:fill="FFFFFF"/>
        </w:rPr>
        <w:t>Bochner</w:t>
      </w:r>
      <w:proofErr w:type="spellEnd"/>
      <w:r w:rsidRPr="005E11F4">
        <w:rPr>
          <w:rFonts w:ascii="Times New Roman" w:hAnsi="Times New Roman" w:cs="Times New Roman"/>
          <w:color w:val="000000"/>
          <w:shd w:val="clear" w:color="auto" w:fill="FFFFFF"/>
        </w:rPr>
        <w:t xml:space="preserve">, Arthur P. (2010). Autoethnography: An Overview [40 paragraphs]. </w:t>
      </w:r>
      <w:r w:rsidRPr="005E11F4">
        <w:rPr>
          <w:rFonts w:ascii="Times New Roman" w:hAnsi="Times New Roman" w:cs="Times New Roman"/>
          <w:i/>
          <w:iCs/>
          <w:color w:val="000000"/>
          <w:shd w:val="clear" w:color="auto" w:fill="FFFFFF"/>
        </w:rPr>
        <w:t xml:space="preserve">Forum Qualitative </w:t>
      </w:r>
      <w:proofErr w:type="spellStart"/>
      <w:r w:rsidRPr="005E11F4">
        <w:rPr>
          <w:rFonts w:ascii="Times New Roman" w:hAnsi="Times New Roman" w:cs="Times New Roman"/>
          <w:i/>
          <w:iCs/>
          <w:color w:val="000000"/>
          <w:shd w:val="clear" w:color="auto" w:fill="FFFFFF"/>
        </w:rPr>
        <w:t>Sozialforschung</w:t>
      </w:r>
      <w:proofErr w:type="spellEnd"/>
      <w:r w:rsidRPr="005E11F4">
        <w:rPr>
          <w:rFonts w:ascii="Times New Roman" w:hAnsi="Times New Roman" w:cs="Times New Roman"/>
          <w:i/>
          <w:iCs/>
          <w:color w:val="000000"/>
          <w:shd w:val="clear" w:color="auto" w:fill="FFFFFF"/>
        </w:rPr>
        <w:t xml:space="preserve"> / Forum: Qualitative Social Research</w:t>
      </w:r>
      <w:r w:rsidRPr="005E11F4">
        <w:rPr>
          <w:rFonts w:ascii="Times New Roman" w:hAnsi="Times New Roman" w:cs="Times New Roman"/>
          <w:color w:val="000000"/>
          <w:shd w:val="clear" w:color="auto" w:fill="FFFFFF"/>
        </w:rPr>
        <w:t xml:space="preserve">, </w:t>
      </w:r>
      <w:r w:rsidRPr="005E11F4">
        <w:rPr>
          <w:rFonts w:ascii="Times New Roman" w:hAnsi="Times New Roman" w:cs="Times New Roman"/>
          <w:i/>
          <w:iCs/>
          <w:color w:val="000000"/>
          <w:shd w:val="clear" w:color="auto" w:fill="FFFFFF"/>
        </w:rPr>
        <w:t>12</w:t>
      </w:r>
      <w:r w:rsidRPr="005E11F4">
        <w:rPr>
          <w:rFonts w:ascii="Times New Roman" w:hAnsi="Times New Roman" w:cs="Times New Roman"/>
          <w:color w:val="000000"/>
          <w:shd w:val="clear" w:color="auto" w:fill="FFFFFF"/>
        </w:rPr>
        <w:t xml:space="preserve">(1), Art. 10, </w:t>
      </w:r>
      <w:hyperlink r:id="rId1" w:history="1">
        <w:r w:rsidRPr="005E11F4">
          <w:rPr>
            <w:rStyle w:val="Hyperlink"/>
            <w:rFonts w:ascii="Times New Roman" w:hAnsi="Times New Roman" w:cs="Times New Roman"/>
            <w:color w:val="996600"/>
            <w:shd w:val="clear" w:color="auto" w:fill="FFFFFF"/>
          </w:rPr>
          <w:t>http://nbn-resolving.de/urn:nbn:de:0114-fqs1101108</w:t>
        </w:r>
      </w:hyperlink>
      <w:r w:rsidRPr="005E11F4">
        <w:rPr>
          <w:rFonts w:ascii="Times New Roman" w:hAnsi="Times New Roman" w:cs="Times New Roman"/>
          <w:color w:val="000000"/>
        </w:rPr>
        <w:t xml:space="preserve"> </w:t>
      </w:r>
    </w:p>
  </w:footnote>
  <w:footnote w:id="3">
    <w:p w14:paraId="3AAEEEC4"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w:t>
      </w:r>
      <w:r w:rsidRPr="005E11F4">
        <w:rPr>
          <w:rFonts w:ascii="Times New Roman" w:hAnsi="Times New Roman" w:cs="Times New Roman"/>
          <w:color w:val="000000"/>
          <w:shd w:val="clear" w:color="auto" w:fill="FFFFFF"/>
        </w:rPr>
        <w:t xml:space="preserve">Ellis, Carolyn; Adams, Tony E. &amp; </w:t>
      </w:r>
      <w:proofErr w:type="spellStart"/>
      <w:r w:rsidRPr="005E11F4">
        <w:rPr>
          <w:rFonts w:ascii="Times New Roman" w:hAnsi="Times New Roman" w:cs="Times New Roman"/>
          <w:color w:val="000000"/>
          <w:shd w:val="clear" w:color="auto" w:fill="FFFFFF"/>
        </w:rPr>
        <w:t>Bochner</w:t>
      </w:r>
      <w:proofErr w:type="spellEnd"/>
      <w:r w:rsidRPr="005E11F4">
        <w:rPr>
          <w:rFonts w:ascii="Times New Roman" w:hAnsi="Times New Roman" w:cs="Times New Roman"/>
          <w:color w:val="000000"/>
          <w:shd w:val="clear" w:color="auto" w:fill="FFFFFF"/>
        </w:rPr>
        <w:t xml:space="preserve">, Arthur P. (2010). Autoethnography: An Overview [40 paragraphs]. </w:t>
      </w:r>
      <w:r w:rsidRPr="005E11F4">
        <w:rPr>
          <w:rFonts w:ascii="Times New Roman" w:hAnsi="Times New Roman" w:cs="Times New Roman"/>
          <w:i/>
          <w:iCs/>
          <w:color w:val="000000"/>
          <w:shd w:val="clear" w:color="auto" w:fill="FFFFFF"/>
        </w:rPr>
        <w:t xml:space="preserve">Forum Qualitative </w:t>
      </w:r>
      <w:proofErr w:type="spellStart"/>
      <w:r w:rsidRPr="005E11F4">
        <w:rPr>
          <w:rFonts w:ascii="Times New Roman" w:hAnsi="Times New Roman" w:cs="Times New Roman"/>
          <w:i/>
          <w:iCs/>
          <w:color w:val="000000"/>
          <w:shd w:val="clear" w:color="auto" w:fill="FFFFFF"/>
        </w:rPr>
        <w:t>Sozialforschung</w:t>
      </w:r>
      <w:proofErr w:type="spellEnd"/>
      <w:r w:rsidRPr="005E11F4">
        <w:rPr>
          <w:rFonts w:ascii="Times New Roman" w:hAnsi="Times New Roman" w:cs="Times New Roman"/>
          <w:i/>
          <w:iCs/>
          <w:color w:val="000000"/>
          <w:shd w:val="clear" w:color="auto" w:fill="FFFFFF"/>
        </w:rPr>
        <w:t xml:space="preserve"> / Forum: Qualitative Social Research</w:t>
      </w:r>
      <w:r w:rsidRPr="005E11F4">
        <w:rPr>
          <w:rFonts w:ascii="Times New Roman" w:hAnsi="Times New Roman" w:cs="Times New Roman"/>
          <w:color w:val="000000"/>
          <w:shd w:val="clear" w:color="auto" w:fill="FFFFFF"/>
        </w:rPr>
        <w:t xml:space="preserve">, </w:t>
      </w:r>
      <w:r w:rsidRPr="005E11F4">
        <w:rPr>
          <w:rFonts w:ascii="Times New Roman" w:hAnsi="Times New Roman" w:cs="Times New Roman"/>
          <w:i/>
          <w:iCs/>
          <w:color w:val="000000"/>
          <w:shd w:val="clear" w:color="auto" w:fill="FFFFFF"/>
        </w:rPr>
        <w:t>12</w:t>
      </w:r>
      <w:r w:rsidRPr="005E11F4">
        <w:rPr>
          <w:rFonts w:ascii="Times New Roman" w:hAnsi="Times New Roman" w:cs="Times New Roman"/>
          <w:color w:val="000000"/>
          <w:shd w:val="clear" w:color="auto" w:fill="FFFFFF"/>
        </w:rPr>
        <w:t xml:space="preserve">(1), Art. 10, </w:t>
      </w:r>
      <w:hyperlink r:id="rId2" w:history="1">
        <w:r w:rsidRPr="005E11F4">
          <w:rPr>
            <w:rStyle w:val="Hyperlink"/>
            <w:rFonts w:ascii="Times New Roman" w:hAnsi="Times New Roman" w:cs="Times New Roman"/>
            <w:color w:val="996600"/>
            <w:shd w:val="clear" w:color="auto" w:fill="FFFFFF"/>
          </w:rPr>
          <w:t>http://nbn-resolving.de/urn:nbn:de:0114-fqs1101108</w:t>
        </w:r>
      </w:hyperlink>
      <w:r w:rsidRPr="005E11F4">
        <w:rPr>
          <w:rFonts w:ascii="Times New Roman" w:hAnsi="Times New Roman" w:cs="Times New Roman"/>
          <w:color w:val="000000"/>
        </w:rPr>
        <w:t xml:space="preserve"> </w:t>
      </w:r>
    </w:p>
  </w:footnote>
  <w:footnote w:id="4">
    <w:p w14:paraId="640AA320"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w:t>
      </w:r>
      <w:r w:rsidRPr="005E11F4">
        <w:rPr>
          <w:rFonts w:ascii="Times New Roman" w:hAnsi="Times New Roman" w:cs="Times New Roman"/>
          <w:color w:val="222222"/>
          <w:shd w:val="clear" w:color="auto" w:fill="F6F6F6"/>
        </w:rPr>
        <w:t xml:space="preserve">The Autoethnography Project by </w:t>
      </w:r>
      <w:hyperlink r:id="rId3" w:history="1">
        <w:r w:rsidRPr="005E11F4">
          <w:rPr>
            <w:rStyle w:val="Hyperlink"/>
            <w:rFonts w:ascii="Times New Roman" w:hAnsi="Times New Roman" w:cs="Times New Roman"/>
            <w:color w:val="1155CC"/>
            <w:shd w:val="clear" w:color="auto" w:fill="F6F6F6"/>
          </w:rPr>
          <w:t xml:space="preserve">Melissa </w:t>
        </w:r>
        <w:proofErr w:type="spellStart"/>
        <w:r w:rsidRPr="005E11F4">
          <w:rPr>
            <w:rStyle w:val="Hyperlink"/>
            <w:rFonts w:ascii="Times New Roman" w:hAnsi="Times New Roman" w:cs="Times New Roman"/>
            <w:color w:val="1155CC"/>
            <w:shd w:val="clear" w:color="auto" w:fill="F6F6F6"/>
          </w:rPr>
          <w:t>Tombro</w:t>
        </w:r>
        <w:proofErr w:type="spellEnd"/>
      </w:hyperlink>
      <w:r w:rsidRPr="005E11F4">
        <w:rPr>
          <w:rFonts w:ascii="Times New Roman" w:hAnsi="Times New Roman" w:cs="Times New Roman"/>
          <w:color w:val="222222"/>
          <w:shd w:val="clear" w:color="auto" w:fill="F6F6F6"/>
        </w:rPr>
        <w:t xml:space="preserve"> is licensed under a </w:t>
      </w:r>
      <w:hyperlink r:id="rId4" w:history="1">
        <w:r w:rsidRPr="005E11F4">
          <w:rPr>
            <w:rStyle w:val="Hyperlink"/>
            <w:rFonts w:ascii="Times New Roman" w:hAnsi="Times New Roman" w:cs="Times New Roman"/>
            <w:color w:val="1155CC"/>
            <w:shd w:val="clear" w:color="auto" w:fill="F6F6F6"/>
          </w:rPr>
          <w:t>Creative Commons Attribution-</w:t>
        </w:r>
        <w:proofErr w:type="spellStart"/>
        <w:r w:rsidRPr="005E11F4">
          <w:rPr>
            <w:rStyle w:val="Hyperlink"/>
            <w:rFonts w:ascii="Times New Roman" w:hAnsi="Times New Roman" w:cs="Times New Roman"/>
            <w:color w:val="1155CC"/>
            <w:shd w:val="clear" w:color="auto" w:fill="F6F6F6"/>
          </w:rPr>
          <w:t>NonCommercial</w:t>
        </w:r>
        <w:proofErr w:type="spellEnd"/>
        <w:r w:rsidRPr="005E11F4">
          <w:rPr>
            <w:rStyle w:val="Hyperlink"/>
            <w:rFonts w:ascii="Times New Roman" w:hAnsi="Times New Roman" w:cs="Times New Roman"/>
            <w:color w:val="1155CC"/>
            <w:shd w:val="clear" w:color="auto" w:fill="F6F6F6"/>
          </w:rPr>
          <w:t>-</w:t>
        </w:r>
        <w:proofErr w:type="spellStart"/>
        <w:r w:rsidRPr="005E11F4">
          <w:rPr>
            <w:rStyle w:val="Hyperlink"/>
            <w:rFonts w:ascii="Times New Roman" w:hAnsi="Times New Roman" w:cs="Times New Roman"/>
            <w:color w:val="1155CC"/>
            <w:shd w:val="clear" w:color="auto" w:fill="F6F6F6"/>
          </w:rPr>
          <w:t>ShareAlike</w:t>
        </w:r>
        <w:proofErr w:type="spellEnd"/>
        <w:r w:rsidRPr="005E11F4">
          <w:rPr>
            <w:rStyle w:val="Hyperlink"/>
            <w:rFonts w:ascii="Times New Roman" w:hAnsi="Times New Roman" w:cs="Times New Roman"/>
            <w:color w:val="1155CC"/>
            <w:shd w:val="clear" w:color="auto" w:fill="F6F6F6"/>
          </w:rPr>
          <w:t xml:space="preserve"> 4.0 International License</w:t>
        </w:r>
      </w:hyperlink>
      <w:r w:rsidRPr="005E11F4">
        <w:rPr>
          <w:rFonts w:ascii="Times New Roman" w:hAnsi="Times New Roman" w:cs="Times New Roman"/>
          <w:color w:val="222222"/>
          <w:shd w:val="clear" w:color="auto" w:fill="F6F6F6"/>
        </w:rPr>
        <w:t>, except where otherwise noted.</w:t>
      </w:r>
    </w:p>
  </w:footnote>
  <w:footnote w:id="5">
    <w:p w14:paraId="0720FF3C"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In order to make this </w:t>
      </w:r>
      <w:proofErr w:type="gramStart"/>
      <w:r w:rsidRPr="005E11F4">
        <w:rPr>
          <w:rFonts w:ascii="Times New Roman" w:hAnsi="Times New Roman" w:cs="Times New Roman"/>
        </w:rPr>
        <w:t>book  as</w:t>
      </w:r>
      <w:proofErr w:type="gramEnd"/>
      <w:r w:rsidRPr="005E11F4">
        <w:rPr>
          <w:rFonts w:ascii="Times New Roman" w:hAnsi="Times New Roman" w:cs="Times New Roman"/>
        </w:rPr>
        <w:t xml:space="preserve"> relevant to our students as possible, the author added this paragraph</w:t>
      </w:r>
    </w:p>
  </w:footnote>
  <w:footnote w:id="6">
    <w:p w14:paraId="17EC56E6"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In order to make this </w:t>
      </w:r>
      <w:proofErr w:type="gramStart"/>
      <w:r w:rsidRPr="005E11F4">
        <w:rPr>
          <w:rFonts w:ascii="Times New Roman" w:hAnsi="Times New Roman" w:cs="Times New Roman"/>
        </w:rPr>
        <w:t>book  as</w:t>
      </w:r>
      <w:proofErr w:type="gramEnd"/>
      <w:r w:rsidRPr="005E11F4">
        <w:rPr>
          <w:rFonts w:ascii="Times New Roman" w:hAnsi="Times New Roman" w:cs="Times New Roman"/>
        </w:rPr>
        <w:t xml:space="preserve"> relevant to our students as possible, the author added this paragraph</w:t>
      </w:r>
    </w:p>
  </w:footnote>
  <w:footnote w:id="7">
    <w:p w14:paraId="60CE6E93"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w:t>
      </w:r>
      <w:r w:rsidRPr="005E11F4">
        <w:rPr>
          <w:rFonts w:ascii="Times New Roman" w:hAnsi="Times New Roman" w:cs="Times New Roman"/>
          <w:color w:val="222222"/>
          <w:shd w:val="clear" w:color="auto" w:fill="F6F6F6"/>
        </w:rPr>
        <w:t xml:space="preserve"> The Autoethnography Project by </w:t>
      </w:r>
      <w:hyperlink r:id="rId5" w:history="1">
        <w:r w:rsidRPr="005E11F4">
          <w:rPr>
            <w:rStyle w:val="Hyperlink"/>
            <w:rFonts w:ascii="Times New Roman" w:hAnsi="Times New Roman" w:cs="Times New Roman"/>
            <w:color w:val="1155CC"/>
            <w:shd w:val="clear" w:color="auto" w:fill="F6F6F6"/>
          </w:rPr>
          <w:t xml:space="preserve">Melissa </w:t>
        </w:r>
        <w:proofErr w:type="spellStart"/>
        <w:r w:rsidRPr="005E11F4">
          <w:rPr>
            <w:rStyle w:val="Hyperlink"/>
            <w:rFonts w:ascii="Times New Roman" w:hAnsi="Times New Roman" w:cs="Times New Roman"/>
            <w:color w:val="1155CC"/>
            <w:shd w:val="clear" w:color="auto" w:fill="F6F6F6"/>
          </w:rPr>
          <w:t>Tombro</w:t>
        </w:r>
        <w:proofErr w:type="spellEnd"/>
      </w:hyperlink>
      <w:r w:rsidRPr="005E11F4">
        <w:rPr>
          <w:rFonts w:ascii="Times New Roman" w:hAnsi="Times New Roman" w:cs="Times New Roman"/>
          <w:color w:val="222222"/>
          <w:shd w:val="clear" w:color="auto" w:fill="F6F6F6"/>
        </w:rPr>
        <w:t xml:space="preserve"> is licensed under a </w:t>
      </w:r>
      <w:hyperlink r:id="rId6" w:history="1">
        <w:r w:rsidRPr="005E11F4">
          <w:rPr>
            <w:rStyle w:val="Hyperlink"/>
            <w:rFonts w:ascii="Times New Roman" w:hAnsi="Times New Roman" w:cs="Times New Roman"/>
            <w:color w:val="1155CC"/>
            <w:shd w:val="clear" w:color="auto" w:fill="F6F6F6"/>
          </w:rPr>
          <w:t>Creative Commons Attribution-</w:t>
        </w:r>
        <w:proofErr w:type="spellStart"/>
        <w:r w:rsidRPr="005E11F4">
          <w:rPr>
            <w:rStyle w:val="Hyperlink"/>
            <w:rFonts w:ascii="Times New Roman" w:hAnsi="Times New Roman" w:cs="Times New Roman"/>
            <w:color w:val="1155CC"/>
            <w:shd w:val="clear" w:color="auto" w:fill="F6F6F6"/>
          </w:rPr>
          <w:t>NonCommercial</w:t>
        </w:r>
        <w:proofErr w:type="spellEnd"/>
        <w:r w:rsidRPr="005E11F4">
          <w:rPr>
            <w:rStyle w:val="Hyperlink"/>
            <w:rFonts w:ascii="Times New Roman" w:hAnsi="Times New Roman" w:cs="Times New Roman"/>
            <w:color w:val="1155CC"/>
            <w:shd w:val="clear" w:color="auto" w:fill="F6F6F6"/>
          </w:rPr>
          <w:t>-</w:t>
        </w:r>
        <w:proofErr w:type="spellStart"/>
        <w:r w:rsidRPr="005E11F4">
          <w:rPr>
            <w:rStyle w:val="Hyperlink"/>
            <w:rFonts w:ascii="Times New Roman" w:hAnsi="Times New Roman" w:cs="Times New Roman"/>
            <w:color w:val="1155CC"/>
            <w:shd w:val="clear" w:color="auto" w:fill="F6F6F6"/>
          </w:rPr>
          <w:t>ShareAlike</w:t>
        </w:r>
        <w:proofErr w:type="spellEnd"/>
        <w:r w:rsidRPr="005E11F4">
          <w:rPr>
            <w:rStyle w:val="Hyperlink"/>
            <w:rFonts w:ascii="Times New Roman" w:hAnsi="Times New Roman" w:cs="Times New Roman"/>
            <w:color w:val="1155CC"/>
            <w:shd w:val="clear" w:color="auto" w:fill="F6F6F6"/>
          </w:rPr>
          <w:t xml:space="preserve"> 4.0 International License</w:t>
        </w:r>
      </w:hyperlink>
      <w:r w:rsidRPr="005E11F4">
        <w:rPr>
          <w:rFonts w:ascii="Times New Roman" w:hAnsi="Times New Roman" w:cs="Times New Roman"/>
          <w:color w:val="222222"/>
          <w:shd w:val="clear" w:color="auto" w:fill="F6F6F6"/>
        </w:rPr>
        <w:t>, except where otherwise noted</w:t>
      </w:r>
    </w:p>
  </w:footnote>
  <w:footnote w:id="8">
    <w:p w14:paraId="6A74E001"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In order to make this </w:t>
      </w:r>
      <w:proofErr w:type="gramStart"/>
      <w:r w:rsidRPr="005E11F4">
        <w:rPr>
          <w:rFonts w:ascii="Times New Roman" w:hAnsi="Times New Roman" w:cs="Times New Roman"/>
        </w:rPr>
        <w:t>book  as</w:t>
      </w:r>
      <w:proofErr w:type="gramEnd"/>
      <w:r w:rsidRPr="005E11F4">
        <w:rPr>
          <w:rFonts w:ascii="Times New Roman" w:hAnsi="Times New Roman" w:cs="Times New Roman"/>
        </w:rPr>
        <w:t xml:space="preserve"> relevant to our students as possible, the author added this paragraph</w:t>
      </w:r>
    </w:p>
  </w:footnote>
  <w:footnote w:id="9">
    <w:p w14:paraId="20C28811"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In order to make this </w:t>
      </w:r>
      <w:proofErr w:type="gramStart"/>
      <w:r w:rsidRPr="005E11F4">
        <w:rPr>
          <w:rFonts w:ascii="Times New Roman" w:hAnsi="Times New Roman" w:cs="Times New Roman"/>
        </w:rPr>
        <w:t>book  as</w:t>
      </w:r>
      <w:proofErr w:type="gramEnd"/>
      <w:r w:rsidRPr="005E11F4">
        <w:rPr>
          <w:rFonts w:ascii="Times New Roman" w:hAnsi="Times New Roman" w:cs="Times New Roman"/>
        </w:rPr>
        <w:t xml:space="preserve"> relevant to our students as possible, the author added this paragraph</w:t>
      </w:r>
    </w:p>
  </w:footnote>
  <w:footnote w:id="10">
    <w:p w14:paraId="61EAB7C2"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w:t>
      </w:r>
      <w:r w:rsidRPr="005E11F4">
        <w:rPr>
          <w:rFonts w:ascii="Times New Roman" w:hAnsi="Times New Roman" w:cs="Times New Roman"/>
          <w:color w:val="222222"/>
          <w:shd w:val="clear" w:color="auto" w:fill="F6F6F6"/>
        </w:rPr>
        <w:t xml:space="preserve"> The Autoethnography Project by </w:t>
      </w:r>
      <w:hyperlink r:id="rId7" w:history="1">
        <w:r w:rsidRPr="005E11F4">
          <w:rPr>
            <w:rStyle w:val="Hyperlink"/>
            <w:rFonts w:ascii="Times New Roman" w:hAnsi="Times New Roman" w:cs="Times New Roman"/>
            <w:color w:val="1155CC"/>
            <w:shd w:val="clear" w:color="auto" w:fill="F6F6F6"/>
          </w:rPr>
          <w:t xml:space="preserve">Melissa </w:t>
        </w:r>
        <w:proofErr w:type="spellStart"/>
        <w:r w:rsidRPr="005E11F4">
          <w:rPr>
            <w:rStyle w:val="Hyperlink"/>
            <w:rFonts w:ascii="Times New Roman" w:hAnsi="Times New Roman" w:cs="Times New Roman"/>
            <w:color w:val="1155CC"/>
            <w:shd w:val="clear" w:color="auto" w:fill="F6F6F6"/>
          </w:rPr>
          <w:t>Tombro</w:t>
        </w:r>
        <w:proofErr w:type="spellEnd"/>
      </w:hyperlink>
      <w:r w:rsidRPr="005E11F4">
        <w:rPr>
          <w:rFonts w:ascii="Times New Roman" w:hAnsi="Times New Roman" w:cs="Times New Roman"/>
          <w:color w:val="222222"/>
          <w:shd w:val="clear" w:color="auto" w:fill="F6F6F6"/>
        </w:rPr>
        <w:t xml:space="preserve"> is licensed under a </w:t>
      </w:r>
      <w:hyperlink r:id="rId8" w:history="1">
        <w:r w:rsidRPr="005E11F4">
          <w:rPr>
            <w:rStyle w:val="Hyperlink"/>
            <w:rFonts w:ascii="Times New Roman" w:hAnsi="Times New Roman" w:cs="Times New Roman"/>
            <w:color w:val="1155CC"/>
            <w:shd w:val="clear" w:color="auto" w:fill="F6F6F6"/>
          </w:rPr>
          <w:t>Creative Commons Attribution-</w:t>
        </w:r>
        <w:proofErr w:type="spellStart"/>
        <w:r w:rsidRPr="005E11F4">
          <w:rPr>
            <w:rStyle w:val="Hyperlink"/>
            <w:rFonts w:ascii="Times New Roman" w:hAnsi="Times New Roman" w:cs="Times New Roman"/>
            <w:color w:val="1155CC"/>
            <w:shd w:val="clear" w:color="auto" w:fill="F6F6F6"/>
          </w:rPr>
          <w:t>NonCommercial</w:t>
        </w:r>
        <w:proofErr w:type="spellEnd"/>
        <w:r w:rsidRPr="005E11F4">
          <w:rPr>
            <w:rStyle w:val="Hyperlink"/>
            <w:rFonts w:ascii="Times New Roman" w:hAnsi="Times New Roman" w:cs="Times New Roman"/>
            <w:color w:val="1155CC"/>
            <w:shd w:val="clear" w:color="auto" w:fill="F6F6F6"/>
          </w:rPr>
          <w:t>-</w:t>
        </w:r>
        <w:proofErr w:type="spellStart"/>
        <w:r w:rsidRPr="005E11F4">
          <w:rPr>
            <w:rStyle w:val="Hyperlink"/>
            <w:rFonts w:ascii="Times New Roman" w:hAnsi="Times New Roman" w:cs="Times New Roman"/>
            <w:color w:val="1155CC"/>
            <w:shd w:val="clear" w:color="auto" w:fill="F6F6F6"/>
          </w:rPr>
          <w:t>ShareAlike</w:t>
        </w:r>
        <w:proofErr w:type="spellEnd"/>
        <w:r w:rsidRPr="005E11F4">
          <w:rPr>
            <w:rStyle w:val="Hyperlink"/>
            <w:rFonts w:ascii="Times New Roman" w:hAnsi="Times New Roman" w:cs="Times New Roman"/>
            <w:color w:val="1155CC"/>
            <w:shd w:val="clear" w:color="auto" w:fill="F6F6F6"/>
          </w:rPr>
          <w:t xml:space="preserve"> 4.0 International License</w:t>
        </w:r>
      </w:hyperlink>
      <w:r w:rsidRPr="005E11F4">
        <w:rPr>
          <w:rFonts w:ascii="Times New Roman" w:hAnsi="Times New Roman" w:cs="Times New Roman"/>
          <w:color w:val="222222"/>
          <w:shd w:val="clear" w:color="auto" w:fill="F6F6F6"/>
        </w:rPr>
        <w:t>, except where otherwise noted</w:t>
      </w:r>
    </w:p>
  </w:footnote>
  <w:footnote w:id="11">
    <w:p w14:paraId="0498878A"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In order to make this </w:t>
      </w:r>
      <w:proofErr w:type="gramStart"/>
      <w:r w:rsidRPr="005E11F4">
        <w:rPr>
          <w:rFonts w:ascii="Times New Roman" w:hAnsi="Times New Roman" w:cs="Times New Roman"/>
        </w:rPr>
        <w:t>book  as</w:t>
      </w:r>
      <w:proofErr w:type="gramEnd"/>
      <w:r w:rsidRPr="005E11F4">
        <w:rPr>
          <w:rFonts w:ascii="Times New Roman" w:hAnsi="Times New Roman" w:cs="Times New Roman"/>
        </w:rPr>
        <w:t xml:space="preserve"> relevant to our students as possible, the author added this paragraph</w:t>
      </w:r>
    </w:p>
  </w:footnote>
  <w:footnote w:id="12">
    <w:p w14:paraId="6A94687C"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w:t>
      </w:r>
      <w:r w:rsidRPr="005E11F4">
        <w:rPr>
          <w:rFonts w:ascii="Times New Roman" w:hAnsi="Times New Roman" w:cs="Times New Roman"/>
          <w:color w:val="222222"/>
          <w:shd w:val="clear" w:color="auto" w:fill="F6F6F6"/>
        </w:rPr>
        <w:t xml:space="preserve"> The Autoethnography Project by </w:t>
      </w:r>
      <w:hyperlink r:id="rId9" w:history="1">
        <w:r w:rsidRPr="005E11F4">
          <w:rPr>
            <w:rStyle w:val="Hyperlink"/>
            <w:rFonts w:ascii="Times New Roman" w:hAnsi="Times New Roman" w:cs="Times New Roman"/>
            <w:color w:val="1155CC"/>
            <w:shd w:val="clear" w:color="auto" w:fill="F6F6F6"/>
          </w:rPr>
          <w:t xml:space="preserve">Melissa </w:t>
        </w:r>
        <w:proofErr w:type="spellStart"/>
        <w:r w:rsidRPr="005E11F4">
          <w:rPr>
            <w:rStyle w:val="Hyperlink"/>
            <w:rFonts w:ascii="Times New Roman" w:hAnsi="Times New Roman" w:cs="Times New Roman"/>
            <w:color w:val="1155CC"/>
            <w:shd w:val="clear" w:color="auto" w:fill="F6F6F6"/>
          </w:rPr>
          <w:t>Tombro</w:t>
        </w:r>
        <w:proofErr w:type="spellEnd"/>
      </w:hyperlink>
      <w:r w:rsidRPr="005E11F4">
        <w:rPr>
          <w:rFonts w:ascii="Times New Roman" w:hAnsi="Times New Roman" w:cs="Times New Roman"/>
          <w:color w:val="222222"/>
          <w:shd w:val="clear" w:color="auto" w:fill="F6F6F6"/>
        </w:rPr>
        <w:t xml:space="preserve"> is licensed under a </w:t>
      </w:r>
      <w:hyperlink r:id="rId10" w:history="1">
        <w:r w:rsidRPr="005E11F4">
          <w:rPr>
            <w:rStyle w:val="Hyperlink"/>
            <w:rFonts w:ascii="Times New Roman" w:hAnsi="Times New Roman" w:cs="Times New Roman"/>
            <w:color w:val="1155CC"/>
            <w:shd w:val="clear" w:color="auto" w:fill="F6F6F6"/>
          </w:rPr>
          <w:t>Creative Commons Attribution-</w:t>
        </w:r>
        <w:proofErr w:type="spellStart"/>
        <w:r w:rsidRPr="005E11F4">
          <w:rPr>
            <w:rStyle w:val="Hyperlink"/>
            <w:rFonts w:ascii="Times New Roman" w:hAnsi="Times New Roman" w:cs="Times New Roman"/>
            <w:color w:val="1155CC"/>
            <w:shd w:val="clear" w:color="auto" w:fill="F6F6F6"/>
          </w:rPr>
          <w:t>NonCommercial</w:t>
        </w:r>
        <w:proofErr w:type="spellEnd"/>
        <w:r w:rsidRPr="005E11F4">
          <w:rPr>
            <w:rStyle w:val="Hyperlink"/>
            <w:rFonts w:ascii="Times New Roman" w:hAnsi="Times New Roman" w:cs="Times New Roman"/>
            <w:color w:val="1155CC"/>
            <w:shd w:val="clear" w:color="auto" w:fill="F6F6F6"/>
          </w:rPr>
          <w:t>-</w:t>
        </w:r>
        <w:proofErr w:type="spellStart"/>
        <w:r w:rsidRPr="005E11F4">
          <w:rPr>
            <w:rStyle w:val="Hyperlink"/>
            <w:rFonts w:ascii="Times New Roman" w:hAnsi="Times New Roman" w:cs="Times New Roman"/>
            <w:color w:val="1155CC"/>
            <w:shd w:val="clear" w:color="auto" w:fill="F6F6F6"/>
          </w:rPr>
          <w:t>ShareAlike</w:t>
        </w:r>
        <w:proofErr w:type="spellEnd"/>
        <w:r w:rsidRPr="005E11F4">
          <w:rPr>
            <w:rStyle w:val="Hyperlink"/>
            <w:rFonts w:ascii="Times New Roman" w:hAnsi="Times New Roman" w:cs="Times New Roman"/>
            <w:color w:val="1155CC"/>
            <w:shd w:val="clear" w:color="auto" w:fill="F6F6F6"/>
          </w:rPr>
          <w:t xml:space="preserve"> 4.0 International License</w:t>
        </w:r>
      </w:hyperlink>
      <w:r w:rsidRPr="005E11F4">
        <w:rPr>
          <w:rFonts w:ascii="Times New Roman" w:hAnsi="Times New Roman" w:cs="Times New Roman"/>
          <w:color w:val="222222"/>
          <w:shd w:val="clear" w:color="auto" w:fill="F6F6F6"/>
        </w:rPr>
        <w:t>, except where otherwise noted</w:t>
      </w:r>
    </w:p>
  </w:footnote>
  <w:footnote w:id="13">
    <w:p w14:paraId="5A795575" w14:textId="77777777" w:rsidR="00605712" w:rsidRPr="005E11F4" w:rsidRDefault="00605712" w:rsidP="00306DAA">
      <w:pPr>
        <w:pStyle w:val="FootnoteText"/>
        <w:rPr>
          <w:rFonts w:ascii="Times New Roman" w:hAnsi="Times New Roman" w:cs="Times New Roman"/>
        </w:rPr>
      </w:pPr>
      <w:r w:rsidRPr="005E11F4">
        <w:rPr>
          <w:rStyle w:val="FootnoteReference"/>
          <w:rFonts w:ascii="Times New Roman" w:hAnsi="Times New Roman" w:cs="Times New Roman"/>
        </w:rPr>
        <w:footnoteRef/>
      </w:r>
      <w:r w:rsidRPr="005E11F4">
        <w:rPr>
          <w:rFonts w:ascii="Times New Roman" w:hAnsi="Times New Roman" w:cs="Times New Roman"/>
        </w:rPr>
        <w:t xml:space="preserve"> In order to make this </w:t>
      </w:r>
      <w:proofErr w:type="gramStart"/>
      <w:r w:rsidRPr="005E11F4">
        <w:rPr>
          <w:rFonts w:ascii="Times New Roman" w:hAnsi="Times New Roman" w:cs="Times New Roman"/>
        </w:rPr>
        <w:t>book  as</w:t>
      </w:r>
      <w:proofErr w:type="gramEnd"/>
      <w:r w:rsidRPr="005E11F4">
        <w:rPr>
          <w:rFonts w:ascii="Times New Roman" w:hAnsi="Times New Roman" w:cs="Times New Roman"/>
        </w:rPr>
        <w:t xml:space="preserve"> relevant to our students as possible, the author added this paragraph</w:t>
      </w:r>
    </w:p>
  </w:footnote>
  <w:footnote w:id="14">
    <w:p w14:paraId="7BD03F5E" w14:textId="77777777" w:rsidR="00605712" w:rsidRPr="005E11F4" w:rsidRDefault="00605712" w:rsidP="00306DAA">
      <w:pPr>
        <w:pStyle w:val="FootnoteText"/>
      </w:pPr>
      <w:r w:rsidRPr="005E11F4">
        <w:rPr>
          <w:rStyle w:val="FootnoteReference"/>
          <w:rFonts w:ascii="Times New Roman" w:hAnsi="Times New Roman" w:cs="Times New Roman"/>
        </w:rPr>
        <w:footnoteRef/>
      </w:r>
      <w:r w:rsidRPr="005E11F4">
        <w:rPr>
          <w:rFonts w:ascii="Times New Roman" w:hAnsi="Times New Roman" w:cs="Times New Roman"/>
        </w:rPr>
        <w:t xml:space="preserve"> </w:t>
      </w:r>
      <w:r w:rsidRPr="005E11F4">
        <w:rPr>
          <w:rFonts w:ascii="Times New Roman" w:hAnsi="Times New Roman" w:cs="Times New Roman"/>
          <w:color w:val="000000"/>
          <w:shd w:val="clear" w:color="auto" w:fill="FFFFFF"/>
        </w:rPr>
        <w:t xml:space="preserve">Ellis, Carolyn; Adams, Tony E. &amp; </w:t>
      </w:r>
      <w:proofErr w:type="spellStart"/>
      <w:r w:rsidRPr="005E11F4">
        <w:rPr>
          <w:rFonts w:ascii="Times New Roman" w:hAnsi="Times New Roman" w:cs="Times New Roman"/>
          <w:color w:val="000000"/>
          <w:shd w:val="clear" w:color="auto" w:fill="FFFFFF"/>
        </w:rPr>
        <w:t>Bochner</w:t>
      </w:r>
      <w:proofErr w:type="spellEnd"/>
      <w:r w:rsidRPr="005E11F4">
        <w:rPr>
          <w:rFonts w:ascii="Times New Roman" w:hAnsi="Times New Roman" w:cs="Times New Roman"/>
          <w:color w:val="000000"/>
          <w:shd w:val="clear" w:color="auto" w:fill="FFFFFF"/>
        </w:rPr>
        <w:t xml:space="preserve">, Arthur P. (2010). Autoethnography: An Overview [40 paragraphs]. </w:t>
      </w:r>
      <w:r w:rsidRPr="005E11F4">
        <w:rPr>
          <w:rFonts w:ascii="Times New Roman" w:hAnsi="Times New Roman" w:cs="Times New Roman"/>
          <w:i/>
          <w:iCs/>
          <w:color w:val="000000"/>
          <w:shd w:val="clear" w:color="auto" w:fill="FFFFFF"/>
        </w:rPr>
        <w:t xml:space="preserve">Forum Qualitative </w:t>
      </w:r>
      <w:proofErr w:type="spellStart"/>
      <w:r w:rsidRPr="005E11F4">
        <w:rPr>
          <w:rFonts w:ascii="Times New Roman" w:hAnsi="Times New Roman" w:cs="Times New Roman"/>
          <w:i/>
          <w:iCs/>
          <w:color w:val="000000"/>
          <w:shd w:val="clear" w:color="auto" w:fill="FFFFFF"/>
        </w:rPr>
        <w:t>Sozialforschung</w:t>
      </w:r>
      <w:proofErr w:type="spellEnd"/>
      <w:r w:rsidRPr="005E11F4">
        <w:rPr>
          <w:rFonts w:ascii="Times New Roman" w:hAnsi="Times New Roman" w:cs="Times New Roman"/>
          <w:i/>
          <w:iCs/>
          <w:color w:val="000000"/>
          <w:shd w:val="clear" w:color="auto" w:fill="FFFFFF"/>
        </w:rPr>
        <w:t xml:space="preserve"> / Forum: Qualitative Social Research</w:t>
      </w:r>
      <w:r w:rsidRPr="005E11F4">
        <w:rPr>
          <w:rFonts w:ascii="Times New Roman" w:hAnsi="Times New Roman" w:cs="Times New Roman"/>
          <w:color w:val="000000"/>
          <w:shd w:val="clear" w:color="auto" w:fill="FFFFFF"/>
        </w:rPr>
        <w:t xml:space="preserve">, </w:t>
      </w:r>
      <w:r w:rsidRPr="005E11F4">
        <w:rPr>
          <w:rFonts w:ascii="Times New Roman" w:hAnsi="Times New Roman" w:cs="Times New Roman"/>
          <w:i/>
          <w:iCs/>
          <w:color w:val="000000"/>
          <w:shd w:val="clear" w:color="auto" w:fill="FFFFFF"/>
        </w:rPr>
        <w:t>12</w:t>
      </w:r>
      <w:r w:rsidRPr="005E11F4">
        <w:rPr>
          <w:rFonts w:ascii="Times New Roman" w:hAnsi="Times New Roman" w:cs="Times New Roman"/>
          <w:color w:val="000000"/>
          <w:shd w:val="clear" w:color="auto" w:fill="FFFFFF"/>
        </w:rPr>
        <w:t xml:space="preserve">(1), Art. 10, </w:t>
      </w:r>
      <w:hyperlink r:id="rId11" w:history="1">
        <w:r w:rsidRPr="005E11F4">
          <w:rPr>
            <w:rStyle w:val="Hyperlink"/>
            <w:rFonts w:ascii="Times New Roman" w:hAnsi="Times New Roman" w:cs="Times New Roman"/>
            <w:color w:val="996600"/>
            <w:shd w:val="clear" w:color="auto" w:fill="FFFFFF"/>
          </w:rPr>
          <w:t>http://nbn-resolving.de/urn:nbn:de:0114-fqs1101108</w:t>
        </w:r>
      </w:hyperlink>
      <w:r w:rsidRPr="005E11F4">
        <w:rPr>
          <w:rFonts w:ascii="Times New Roman" w:hAnsi="Times New Roman" w:cs="Times New Roman"/>
          <w:color w:val="000000"/>
          <w:sz w:val="22"/>
          <w:szCs w:val="22"/>
        </w:rPr>
        <w:t xml:space="preserve"> </w:t>
      </w:r>
    </w:p>
  </w:footnote>
  <w:footnote w:id="15">
    <w:p w14:paraId="7F1BFF7E" w14:textId="07771450" w:rsidR="00605712" w:rsidRDefault="00605712" w:rsidP="00306DAA">
      <w:pPr>
        <w:pStyle w:val="FootnoteText"/>
        <w:rPr>
          <w:rFonts w:ascii="Times New Roman" w:hAnsi="Times New Roman" w:cs="Times New Roman"/>
        </w:rPr>
      </w:pPr>
      <w:r>
        <w:rPr>
          <w:rStyle w:val="FootnoteReference"/>
        </w:rPr>
        <w:footnoteRef/>
      </w:r>
      <w:r>
        <w:t xml:space="preserve"> </w:t>
      </w:r>
      <w:r w:rsidRPr="005E11F4">
        <w:rPr>
          <w:rFonts w:ascii="Times New Roman" w:hAnsi="Times New Roman" w:cs="Times New Roman"/>
        </w:rPr>
        <w:t xml:space="preserve">In order to make this </w:t>
      </w:r>
      <w:proofErr w:type="gramStart"/>
      <w:r w:rsidRPr="005E11F4">
        <w:rPr>
          <w:rFonts w:ascii="Times New Roman" w:hAnsi="Times New Roman" w:cs="Times New Roman"/>
        </w:rPr>
        <w:t>book  as</w:t>
      </w:r>
      <w:proofErr w:type="gramEnd"/>
      <w:r w:rsidRPr="005E11F4">
        <w:rPr>
          <w:rFonts w:ascii="Times New Roman" w:hAnsi="Times New Roman" w:cs="Times New Roman"/>
        </w:rPr>
        <w:t xml:space="preserve"> relevant to our students as possible, the author added this paragraph</w:t>
      </w:r>
    </w:p>
    <w:p w14:paraId="7E52FB47" w14:textId="77777777" w:rsidR="00605712" w:rsidRPr="00BB6E5B" w:rsidRDefault="00605712" w:rsidP="00306DAA">
      <w:pPr>
        <w:pStyle w:val="FootnoteText"/>
      </w:pPr>
    </w:p>
  </w:footnote>
  <w:footnote w:id="16">
    <w:p w14:paraId="48F2B68A" w14:textId="77777777" w:rsidR="00605712" w:rsidRPr="00934E91" w:rsidRDefault="00605712" w:rsidP="00D91945">
      <w:pPr>
        <w:shd w:val="clear" w:color="auto" w:fill="FFFFFF"/>
      </w:pPr>
      <w:r>
        <w:rPr>
          <w:rStyle w:val="FootnoteReference"/>
        </w:rPr>
        <w:footnoteRef/>
      </w:r>
      <w:r>
        <w:t xml:space="preserve"> </w:t>
      </w:r>
      <w:r w:rsidRPr="00934E91">
        <w:rPr>
          <w:rFonts w:ascii="Times New Roman" w:eastAsia="Times New Roman" w:hAnsi="Times New Roman" w:cs="Times New Roman"/>
        </w:rPr>
        <w:t>OpenStax, Introduction to Sociology 2e. OpenStax CNX. Mar 20, 2019 http://cnx.org/contents/02040312-72c8-441e-a685-20e9333f3e1d@12.4.</w:t>
      </w:r>
    </w:p>
  </w:footnote>
  <w:footnote w:id="17">
    <w:p w14:paraId="22519FAE" w14:textId="77777777" w:rsidR="00605712" w:rsidRPr="00934E91" w:rsidRDefault="00605712" w:rsidP="00D91945">
      <w:pPr>
        <w:pStyle w:val="FootnoteText"/>
        <w:rPr>
          <w:rFonts w:ascii="Times New Roman" w:hAnsi="Times New Roman" w:cs="Times New Roman"/>
          <w:sz w:val="24"/>
          <w:szCs w:val="24"/>
        </w:rPr>
      </w:pPr>
      <w:r w:rsidRPr="00934E91">
        <w:rPr>
          <w:rStyle w:val="FootnoteReference"/>
          <w:rFonts w:ascii="Times New Roman" w:hAnsi="Times New Roman" w:cs="Times New Roman"/>
          <w:sz w:val="24"/>
          <w:szCs w:val="24"/>
        </w:rPr>
        <w:footnoteRef/>
      </w:r>
      <w:r w:rsidRPr="00934E91">
        <w:rPr>
          <w:rFonts w:ascii="Times New Roman" w:hAnsi="Times New Roman" w:cs="Times New Roman"/>
          <w:sz w:val="24"/>
          <w:szCs w:val="24"/>
        </w:rPr>
        <w:t xml:space="preserve"> </w:t>
      </w:r>
      <w:r w:rsidRPr="005E11F4">
        <w:rPr>
          <w:rFonts w:ascii="Times New Roman" w:hAnsi="Times New Roman" w:cs="Times New Roman"/>
        </w:rPr>
        <w:t xml:space="preserve">In order to make this </w:t>
      </w:r>
      <w:proofErr w:type="gramStart"/>
      <w:r w:rsidRPr="005E11F4">
        <w:rPr>
          <w:rFonts w:ascii="Times New Roman" w:hAnsi="Times New Roman" w:cs="Times New Roman"/>
        </w:rPr>
        <w:t>book  as</w:t>
      </w:r>
      <w:proofErr w:type="gramEnd"/>
      <w:r w:rsidRPr="005E11F4">
        <w:rPr>
          <w:rFonts w:ascii="Times New Roman" w:hAnsi="Times New Roman" w:cs="Times New Roman"/>
        </w:rPr>
        <w:t xml:space="preserve"> relevant to our students as possible, the author added this paragraph</w:t>
      </w:r>
    </w:p>
  </w:footnote>
  <w:footnote w:id="18">
    <w:p w14:paraId="30679DFE" w14:textId="77777777" w:rsidR="00605712" w:rsidRPr="00934E91" w:rsidRDefault="00605712" w:rsidP="00D91945">
      <w:r w:rsidRPr="00934E91">
        <w:rPr>
          <w:rStyle w:val="FootnoteReference"/>
          <w:rFonts w:ascii="Times New Roman" w:hAnsi="Times New Roman" w:cs="Times New Roman"/>
        </w:rPr>
        <w:footnoteRef/>
      </w:r>
      <w:r w:rsidRPr="00934E91">
        <w:rPr>
          <w:rFonts w:ascii="Times New Roman" w:hAnsi="Times New Roman" w:cs="Times New Roman"/>
        </w:rPr>
        <w:t xml:space="preserve"> The Saylor Foundation under a Creative Commons Attribution-</w:t>
      </w:r>
      <w:proofErr w:type="spellStart"/>
      <w:r w:rsidRPr="00934E91">
        <w:rPr>
          <w:rFonts w:ascii="Times New Roman" w:hAnsi="Times New Roman" w:cs="Times New Roman"/>
        </w:rPr>
        <w:t>NonCommercial</w:t>
      </w:r>
      <w:proofErr w:type="spellEnd"/>
      <w:r w:rsidRPr="00934E91">
        <w:rPr>
          <w:rFonts w:ascii="Times New Roman" w:hAnsi="Times New Roman" w:cs="Times New Roman"/>
        </w:rPr>
        <w:t>-</w:t>
      </w:r>
      <w:proofErr w:type="spellStart"/>
      <w:r w:rsidRPr="00934E91">
        <w:rPr>
          <w:rFonts w:ascii="Times New Roman" w:hAnsi="Times New Roman" w:cs="Times New Roman"/>
        </w:rPr>
        <w:t>ShareAlike</w:t>
      </w:r>
      <w:proofErr w:type="spellEnd"/>
      <w:r w:rsidRPr="00934E91">
        <w:rPr>
          <w:rFonts w:ascii="Times New Roman" w:hAnsi="Times New Roman" w:cs="Times New Roman"/>
        </w:rPr>
        <w:t xml:space="preserve"> 3.0 License without attribution as requested by the work’s original creator or licensee.</w:t>
      </w:r>
    </w:p>
  </w:footnote>
  <w:footnote w:id="19">
    <w:p w14:paraId="1224F391" w14:textId="77777777" w:rsidR="00605712" w:rsidRPr="00934E91" w:rsidRDefault="00605712" w:rsidP="00D91945">
      <w:pPr>
        <w:shd w:val="clear" w:color="auto" w:fill="FFFFFF"/>
      </w:pPr>
      <w:r w:rsidRPr="00934E91">
        <w:rPr>
          <w:rStyle w:val="FootnoteReference"/>
          <w:rFonts w:ascii="Times New Roman" w:hAnsi="Times New Roman" w:cs="Times New Roman"/>
        </w:rPr>
        <w:footnoteRef/>
      </w:r>
      <w:r w:rsidRPr="00934E91">
        <w:rPr>
          <w:rFonts w:ascii="Times New Roman" w:hAnsi="Times New Roman" w:cs="Times New Roman"/>
        </w:rPr>
        <w:t xml:space="preserve"> </w:t>
      </w:r>
      <w:r w:rsidRPr="00934E91">
        <w:rPr>
          <w:rFonts w:ascii="Times New Roman" w:eastAsia="Times New Roman" w:hAnsi="Times New Roman" w:cs="Times New Roman"/>
        </w:rPr>
        <w:t>OpenStax, Psychology. OpenStax CNX. Mar 6, 2019 http://cnx.org/contents/4abf04bf-93a0-45c3-9cbc-2cefd46e68cc@10.16.</w:t>
      </w:r>
    </w:p>
  </w:footnote>
  <w:footnote w:id="20">
    <w:p w14:paraId="2EA0B06F" w14:textId="77777777" w:rsidR="00605712" w:rsidRPr="00934E91" w:rsidRDefault="00605712" w:rsidP="00D91945">
      <w:r w:rsidRPr="00934E91">
        <w:rPr>
          <w:rStyle w:val="FootnoteReference"/>
          <w:rFonts w:ascii="Times New Roman" w:hAnsi="Times New Roman" w:cs="Times New Roman"/>
        </w:rPr>
        <w:footnoteRef/>
      </w:r>
      <w:r w:rsidRPr="00934E91">
        <w:rPr>
          <w:rFonts w:ascii="Times New Roman" w:hAnsi="Times New Roman" w:cs="Times New Roman"/>
        </w:rPr>
        <w:t xml:space="preserve"> </w:t>
      </w:r>
      <w:hyperlink r:id="rId12" w:history="1">
        <w:r w:rsidRPr="00934E91">
          <w:rPr>
            <w:rStyle w:val="Hyperlink"/>
            <w:rFonts w:ascii="Times New Roman" w:hAnsi="Times New Roman" w:cs="Times New Roman"/>
            <w:color w:val="auto"/>
            <w:shd w:val="clear" w:color="auto" w:fill="F6F6F6"/>
          </w:rPr>
          <w:t>Sociology: Understanding and Changing the Social World</w:t>
        </w:r>
      </w:hyperlink>
      <w:r w:rsidRPr="00934E91">
        <w:rPr>
          <w:rFonts w:ascii="Times New Roman" w:hAnsi="Times New Roman" w:cs="Times New Roman"/>
          <w:shd w:val="clear" w:color="auto" w:fill="F6F6F6"/>
        </w:rPr>
        <w:t> by University of Minnesota is licensed under a </w:t>
      </w:r>
      <w:hyperlink r:id="rId13" w:history="1">
        <w:r w:rsidRPr="00934E91">
          <w:rPr>
            <w:rStyle w:val="Hyperlink"/>
            <w:rFonts w:ascii="Times New Roman" w:hAnsi="Times New Roman" w:cs="Times New Roman"/>
            <w:color w:val="auto"/>
            <w:shd w:val="clear" w:color="auto" w:fill="F6F6F6"/>
          </w:rPr>
          <w:t>Creative Commons Attribution-</w:t>
        </w:r>
        <w:proofErr w:type="spellStart"/>
        <w:r w:rsidRPr="00934E91">
          <w:rPr>
            <w:rStyle w:val="Hyperlink"/>
            <w:rFonts w:ascii="Times New Roman" w:hAnsi="Times New Roman" w:cs="Times New Roman"/>
            <w:color w:val="auto"/>
            <w:shd w:val="clear" w:color="auto" w:fill="F6F6F6"/>
          </w:rPr>
          <w:t>NonCommercial</w:t>
        </w:r>
        <w:proofErr w:type="spellEnd"/>
        <w:r w:rsidRPr="00934E91">
          <w:rPr>
            <w:rStyle w:val="Hyperlink"/>
            <w:rFonts w:ascii="Times New Roman" w:hAnsi="Times New Roman" w:cs="Times New Roman"/>
            <w:color w:val="auto"/>
            <w:shd w:val="clear" w:color="auto" w:fill="F6F6F6"/>
          </w:rPr>
          <w:t>-</w:t>
        </w:r>
        <w:proofErr w:type="spellStart"/>
        <w:r w:rsidRPr="00934E91">
          <w:rPr>
            <w:rStyle w:val="Hyperlink"/>
            <w:rFonts w:ascii="Times New Roman" w:hAnsi="Times New Roman" w:cs="Times New Roman"/>
            <w:color w:val="auto"/>
            <w:shd w:val="clear" w:color="auto" w:fill="F6F6F6"/>
          </w:rPr>
          <w:t>ShareAlike</w:t>
        </w:r>
        <w:proofErr w:type="spellEnd"/>
        <w:r w:rsidRPr="00934E91">
          <w:rPr>
            <w:rStyle w:val="Hyperlink"/>
            <w:rFonts w:ascii="Times New Roman" w:hAnsi="Times New Roman" w:cs="Times New Roman"/>
            <w:color w:val="auto"/>
            <w:shd w:val="clear" w:color="auto" w:fill="F6F6F6"/>
          </w:rPr>
          <w:t xml:space="preserve"> 4.0 International License</w:t>
        </w:r>
      </w:hyperlink>
      <w:r w:rsidRPr="00934E91">
        <w:rPr>
          <w:rFonts w:ascii="Times New Roman" w:hAnsi="Times New Roman" w:cs="Times New Roman"/>
          <w:shd w:val="clear" w:color="auto" w:fill="F6F6F6"/>
        </w:rPr>
        <w:t>, except where otherwise noted.</w:t>
      </w:r>
    </w:p>
  </w:footnote>
  <w:footnote w:id="21">
    <w:p w14:paraId="659D52FC" w14:textId="77777777" w:rsidR="00605712" w:rsidRPr="00934E91" w:rsidRDefault="00605712" w:rsidP="00D91945">
      <w:pPr>
        <w:pStyle w:val="FootnoteText"/>
        <w:rPr>
          <w:rFonts w:ascii="Times New Roman" w:hAnsi="Times New Roman" w:cs="Times New Roman"/>
          <w:sz w:val="24"/>
          <w:szCs w:val="24"/>
        </w:rPr>
      </w:pPr>
      <w:r w:rsidRPr="00934E91">
        <w:rPr>
          <w:rStyle w:val="FootnoteReference"/>
          <w:rFonts w:ascii="Times New Roman" w:hAnsi="Times New Roman" w:cs="Times New Roman"/>
          <w:sz w:val="24"/>
          <w:szCs w:val="24"/>
        </w:rPr>
        <w:footnoteRef/>
      </w:r>
      <w:r w:rsidRPr="00934E91">
        <w:rPr>
          <w:rFonts w:ascii="Times New Roman" w:hAnsi="Times New Roman" w:cs="Times New Roman"/>
          <w:sz w:val="24"/>
          <w:szCs w:val="24"/>
        </w:rPr>
        <w:t xml:space="preserve"> </w:t>
      </w:r>
      <w:r w:rsidRPr="005E11F4">
        <w:rPr>
          <w:rFonts w:ascii="Times New Roman" w:hAnsi="Times New Roman" w:cs="Times New Roman"/>
        </w:rPr>
        <w:t xml:space="preserve">In order to make this </w:t>
      </w:r>
      <w:proofErr w:type="gramStart"/>
      <w:r w:rsidRPr="005E11F4">
        <w:rPr>
          <w:rFonts w:ascii="Times New Roman" w:hAnsi="Times New Roman" w:cs="Times New Roman"/>
        </w:rPr>
        <w:t>book  as</w:t>
      </w:r>
      <w:proofErr w:type="gramEnd"/>
      <w:r w:rsidRPr="005E11F4">
        <w:rPr>
          <w:rFonts w:ascii="Times New Roman" w:hAnsi="Times New Roman" w:cs="Times New Roman"/>
        </w:rPr>
        <w:t xml:space="preserve"> relevant to our students as possible, the author added this paragraph</w:t>
      </w:r>
    </w:p>
  </w:footnote>
  <w:footnote w:id="22">
    <w:p w14:paraId="5F858462" w14:textId="77777777" w:rsidR="00605712" w:rsidRPr="00934E91" w:rsidRDefault="00605712" w:rsidP="00D91945">
      <w:pPr>
        <w:pStyle w:val="FootnoteText"/>
        <w:rPr>
          <w:rFonts w:ascii="Times New Roman" w:hAnsi="Times New Roman" w:cs="Times New Roman"/>
          <w:sz w:val="24"/>
          <w:szCs w:val="24"/>
        </w:rPr>
      </w:pPr>
      <w:r w:rsidRPr="00934E91">
        <w:rPr>
          <w:rStyle w:val="FootnoteReference"/>
          <w:rFonts w:ascii="Times New Roman" w:hAnsi="Times New Roman" w:cs="Times New Roman"/>
          <w:sz w:val="24"/>
          <w:szCs w:val="24"/>
        </w:rPr>
        <w:footnoteRef/>
      </w:r>
      <w:r w:rsidRPr="00934E91">
        <w:rPr>
          <w:rFonts w:ascii="Times New Roman" w:hAnsi="Times New Roman" w:cs="Times New Roman"/>
          <w:sz w:val="24"/>
          <w:szCs w:val="24"/>
        </w:rPr>
        <w:t xml:space="preserve"> The Saylor Foundation under a Creative Commons Attribution-</w:t>
      </w:r>
      <w:proofErr w:type="spellStart"/>
      <w:r w:rsidRPr="00934E91">
        <w:rPr>
          <w:rFonts w:ascii="Times New Roman" w:hAnsi="Times New Roman" w:cs="Times New Roman"/>
          <w:sz w:val="24"/>
          <w:szCs w:val="24"/>
        </w:rPr>
        <w:t>NonCommercial</w:t>
      </w:r>
      <w:proofErr w:type="spellEnd"/>
      <w:r w:rsidRPr="00934E91">
        <w:rPr>
          <w:rFonts w:ascii="Times New Roman" w:hAnsi="Times New Roman" w:cs="Times New Roman"/>
          <w:sz w:val="24"/>
          <w:szCs w:val="24"/>
        </w:rPr>
        <w:t>-</w:t>
      </w:r>
      <w:proofErr w:type="spellStart"/>
      <w:r w:rsidRPr="00934E91">
        <w:rPr>
          <w:rFonts w:ascii="Times New Roman" w:hAnsi="Times New Roman" w:cs="Times New Roman"/>
          <w:sz w:val="24"/>
          <w:szCs w:val="24"/>
        </w:rPr>
        <w:t>ShareAlike</w:t>
      </w:r>
      <w:proofErr w:type="spellEnd"/>
    </w:p>
  </w:footnote>
  <w:footnote w:id="23">
    <w:p w14:paraId="20348097" w14:textId="77777777" w:rsidR="00605712" w:rsidRPr="00934E91" w:rsidRDefault="00605712" w:rsidP="00D91945">
      <w:r w:rsidRPr="00934E91">
        <w:rPr>
          <w:rStyle w:val="FootnoteReference"/>
          <w:rFonts w:ascii="Times New Roman" w:hAnsi="Times New Roman" w:cs="Times New Roman"/>
        </w:rPr>
        <w:footnoteRef/>
      </w:r>
      <w:r w:rsidRPr="00934E91">
        <w:rPr>
          <w:rFonts w:ascii="Times New Roman" w:hAnsi="Times New Roman" w:cs="Times New Roman"/>
        </w:rPr>
        <w:t xml:space="preserve"> </w:t>
      </w:r>
      <w:hyperlink r:id="rId14" w:history="1">
        <w:r w:rsidRPr="00934E91">
          <w:rPr>
            <w:rStyle w:val="Hyperlink"/>
            <w:rFonts w:ascii="Times New Roman" w:hAnsi="Times New Roman" w:cs="Times New Roman"/>
            <w:color w:val="auto"/>
            <w:shd w:val="clear" w:color="auto" w:fill="F6F6F6"/>
          </w:rPr>
          <w:t>Sociology: Understanding and Changing the Social World</w:t>
        </w:r>
      </w:hyperlink>
      <w:r w:rsidRPr="00934E91">
        <w:rPr>
          <w:rFonts w:ascii="Times New Roman" w:hAnsi="Times New Roman" w:cs="Times New Roman"/>
          <w:shd w:val="clear" w:color="auto" w:fill="F6F6F6"/>
        </w:rPr>
        <w:t> by University of Minnesota is licensed under a </w:t>
      </w:r>
      <w:hyperlink r:id="rId15" w:history="1">
        <w:r w:rsidRPr="00934E91">
          <w:rPr>
            <w:rStyle w:val="Hyperlink"/>
            <w:rFonts w:ascii="Times New Roman" w:hAnsi="Times New Roman" w:cs="Times New Roman"/>
            <w:color w:val="auto"/>
            <w:shd w:val="clear" w:color="auto" w:fill="F6F6F6"/>
          </w:rPr>
          <w:t>Creative Commons Attribution-</w:t>
        </w:r>
        <w:proofErr w:type="spellStart"/>
        <w:r w:rsidRPr="00934E91">
          <w:rPr>
            <w:rStyle w:val="Hyperlink"/>
            <w:rFonts w:ascii="Times New Roman" w:hAnsi="Times New Roman" w:cs="Times New Roman"/>
            <w:color w:val="auto"/>
            <w:shd w:val="clear" w:color="auto" w:fill="F6F6F6"/>
          </w:rPr>
          <w:t>NonCommercial</w:t>
        </w:r>
        <w:proofErr w:type="spellEnd"/>
        <w:r w:rsidRPr="00934E91">
          <w:rPr>
            <w:rStyle w:val="Hyperlink"/>
            <w:rFonts w:ascii="Times New Roman" w:hAnsi="Times New Roman" w:cs="Times New Roman"/>
            <w:color w:val="auto"/>
            <w:shd w:val="clear" w:color="auto" w:fill="F6F6F6"/>
          </w:rPr>
          <w:t>-</w:t>
        </w:r>
        <w:proofErr w:type="spellStart"/>
        <w:r w:rsidRPr="00934E91">
          <w:rPr>
            <w:rStyle w:val="Hyperlink"/>
            <w:rFonts w:ascii="Times New Roman" w:hAnsi="Times New Roman" w:cs="Times New Roman"/>
            <w:color w:val="auto"/>
            <w:shd w:val="clear" w:color="auto" w:fill="F6F6F6"/>
          </w:rPr>
          <w:t>ShareAlike</w:t>
        </w:r>
        <w:proofErr w:type="spellEnd"/>
        <w:r w:rsidRPr="00934E91">
          <w:rPr>
            <w:rStyle w:val="Hyperlink"/>
            <w:rFonts w:ascii="Times New Roman" w:hAnsi="Times New Roman" w:cs="Times New Roman"/>
            <w:color w:val="auto"/>
            <w:shd w:val="clear" w:color="auto" w:fill="F6F6F6"/>
          </w:rPr>
          <w:t xml:space="preserve"> 4.0 International License</w:t>
        </w:r>
      </w:hyperlink>
      <w:r w:rsidRPr="00934E91">
        <w:rPr>
          <w:rFonts w:ascii="Times New Roman" w:hAnsi="Times New Roman" w:cs="Times New Roman"/>
          <w:shd w:val="clear" w:color="auto" w:fill="F6F6F6"/>
        </w:rPr>
        <w:t>, except where otherwise noted.</w:t>
      </w:r>
    </w:p>
  </w:footnote>
  <w:footnote w:id="24">
    <w:p w14:paraId="1935E44B" w14:textId="77777777" w:rsidR="00605712" w:rsidRPr="00934E91" w:rsidRDefault="00605712" w:rsidP="00D91945">
      <w:pPr>
        <w:pStyle w:val="FootnoteText"/>
        <w:rPr>
          <w:rFonts w:ascii="Times New Roman" w:hAnsi="Times New Roman" w:cs="Times New Roman"/>
          <w:sz w:val="24"/>
          <w:szCs w:val="24"/>
        </w:rPr>
      </w:pPr>
      <w:r w:rsidRPr="00934E91">
        <w:rPr>
          <w:rStyle w:val="FootnoteReference"/>
          <w:rFonts w:ascii="Times New Roman" w:hAnsi="Times New Roman" w:cs="Times New Roman"/>
          <w:sz w:val="24"/>
          <w:szCs w:val="24"/>
        </w:rPr>
        <w:footnoteRef/>
      </w:r>
      <w:r w:rsidRPr="00934E91">
        <w:rPr>
          <w:rFonts w:ascii="Times New Roman" w:hAnsi="Times New Roman" w:cs="Times New Roman"/>
          <w:sz w:val="24"/>
          <w:szCs w:val="24"/>
        </w:rPr>
        <w:t xml:space="preserve"> The Saylor Foundation under a Creative Commons Attribution-</w:t>
      </w:r>
      <w:proofErr w:type="spellStart"/>
      <w:r w:rsidRPr="00934E91">
        <w:rPr>
          <w:rFonts w:ascii="Times New Roman" w:hAnsi="Times New Roman" w:cs="Times New Roman"/>
          <w:sz w:val="24"/>
          <w:szCs w:val="24"/>
        </w:rPr>
        <w:t>NonCommercial</w:t>
      </w:r>
      <w:proofErr w:type="spellEnd"/>
      <w:r w:rsidRPr="00934E91">
        <w:rPr>
          <w:rFonts w:ascii="Times New Roman" w:hAnsi="Times New Roman" w:cs="Times New Roman"/>
          <w:sz w:val="24"/>
          <w:szCs w:val="24"/>
        </w:rPr>
        <w:t>-</w:t>
      </w:r>
      <w:proofErr w:type="spellStart"/>
      <w:r w:rsidRPr="00934E91">
        <w:rPr>
          <w:rFonts w:ascii="Times New Roman" w:hAnsi="Times New Roman" w:cs="Times New Roman"/>
          <w:sz w:val="24"/>
          <w:szCs w:val="24"/>
        </w:rPr>
        <w:t>ShareAlike</w:t>
      </w:r>
      <w:proofErr w:type="spellEnd"/>
    </w:p>
  </w:footnote>
  <w:footnote w:id="25">
    <w:p w14:paraId="4383D701" w14:textId="77777777" w:rsidR="00605712" w:rsidRPr="00934E91" w:rsidRDefault="00605712" w:rsidP="00D91945">
      <w:pPr>
        <w:shd w:val="clear" w:color="auto" w:fill="FFFFFF"/>
      </w:pPr>
      <w:r w:rsidRPr="00934E91">
        <w:rPr>
          <w:rStyle w:val="FootnoteReference"/>
          <w:rFonts w:ascii="Times New Roman" w:hAnsi="Times New Roman" w:cs="Times New Roman"/>
        </w:rPr>
        <w:footnoteRef/>
      </w:r>
      <w:r w:rsidRPr="00934E91">
        <w:rPr>
          <w:rFonts w:ascii="Times New Roman" w:hAnsi="Times New Roman" w:cs="Times New Roman"/>
        </w:rPr>
        <w:t xml:space="preserve"> </w:t>
      </w:r>
      <w:r w:rsidRPr="00934E91">
        <w:rPr>
          <w:rFonts w:ascii="Times New Roman" w:eastAsia="Times New Roman" w:hAnsi="Times New Roman" w:cs="Times New Roman"/>
        </w:rPr>
        <w:t>OpenStax, Psychology. OpenStax CNX. Mar 6, 2019 http://cnx.org/contents/4abf04bf-93a0-45c3-9cbc-2cefd46e68cc@10.16.</w:t>
      </w:r>
    </w:p>
  </w:footnote>
  <w:footnote w:id="26">
    <w:p w14:paraId="33DC1F53" w14:textId="77777777" w:rsidR="00605712" w:rsidRPr="00934E91" w:rsidRDefault="00605712" w:rsidP="00D91945">
      <w:pPr>
        <w:pStyle w:val="FootnoteText"/>
        <w:rPr>
          <w:rFonts w:ascii="Times New Roman" w:hAnsi="Times New Roman" w:cs="Times New Roman"/>
          <w:sz w:val="24"/>
          <w:szCs w:val="24"/>
        </w:rPr>
      </w:pPr>
      <w:r w:rsidRPr="00934E91">
        <w:rPr>
          <w:rStyle w:val="FootnoteReference"/>
          <w:rFonts w:ascii="Times New Roman" w:hAnsi="Times New Roman" w:cs="Times New Roman"/>
          <w:sz w:val="24"/>
          <w:szCs w:val="24"/>
        </w:rPr>
        <w:footnoteRef/>
      </w:r>
      <w:r w:rsidRPr="00934E91">
        <w:rPr>
          <w:rFonts w:ascii="Times New Roman" w:hAnsi="Times New Roman" w:cs="Times New Roman"/>
          <w:sz w:val="24"/>
          <w:szCs w:val="24"/>
        </w:rPr>
        <w:t xml:space="preserve"> The Saylor Foundation under a Creative Commons Attribution-</w:t>
      </w:r>
      <w:proofErr w:type="spellStart"/>
      <w:r w:rsidRPr="00934E91">
        <w:rPr>
          <w:rFonts w:ascii="Times New Roman" w:hAnsi="Times New Roman" w:cs="Times New Roman"/>
          <w:sz w:val="24"/>
          <w:szCs w:val="24"/>
        </w:rPr>
        <w:t>NonCommercial</w:t>
      </w:r>
      <w:proofErr w:type="spellEnd"/>
      <w:r w:rsidRPr="00934E91">
        <w:rPr>
          <w:rFonts w:ascii="Times New Roman" w:hAnsi="Times New Roman" w:cs="Times New Roman"/>
          <w:sz w:val="24"/>
          <w:szCs w:val="24"/>
        </w:rPr>
        <w:t>-</w:t>
      </w:r>
      <w:proofErr w:type="spellStart"/>
      <w:r w:rsidRPr="00934E91">
        <w:rPr>
          <w:rFonts w:ascii="Times New Roman" w:hAnsi="Times New Roman" w:cs="Times New Roman"/>
          <w:sz w:val="24"/>
          <w:szCs w:val="24"/>
        </w:rPr>
        <w:t>ShareAlike</w:t>
      </w:r>
      <w:proofErr w:type="spellEnd"/>
    </w:p>
  </w:footnote>
  <w:footnote w:id="27">
    <w:p w14:paraId="1EAA8474" w14:textId="77777777" w:rsidR="00605712" w:rsidRPr="00934E91" w:rsidRDefault="00605712" w:rsidP="00D91945">
      <w:pPr>
        <w:shd w:val="clear" w:color="auto" w:fill="FFFFFF"/>
      </w:pPr>
      <w:r w:rsidRPr="00934E91">
        <w:rPr>
          <w:rStyle w:val="FootnoteReference"/>
          <w:rFonts w:ascii="Times New Roman" w:hAnsi="Times New Roman" w:cs="Times New Roman"/>
        </w:rPr>
        <w:footnoteRef/>
      </w:r>
      <w:r w:rsidRPr="00934E91">
        <w:rPr>
          <w:rFonts w:ascii="Times New Roman" w:hAnsi="Times New Roman" w:cs="Times New Roman"/>
        </w:rPr>
        <w:t xml:space="preserve"> </w:t>
      </w:r>
      <w:r w:rsidRPr="00934E91">
        <w:rPr>
          <w:rFonts w:ascii="Times New Roman" w:eastAsia="Times New Roman" w:hAnsi="Times New Roman" w:cs="Times New Roman"/>
        </w:rPr>
        <w:t>OpenStax, Psychology. OpenStax CNX. Mar 6, 2019 http://cnx.org/contents/4abf04bf-93a0-45c3-9cbc-2cefd46e68cc@10.16.</w:t>
      </w:r>
    </w:p>
  </w:footnote>
  <w:footnote w:id="28">
    <w:p w14:paraId="0EA80CB1" w14:textId="77777777" w:rsidR="00605712" w:rsidRPr="00934E91" w:rsidRDefault="00605712" w:rsidP="00D91945">
      <w:pPr>
        <w:pStyle w:val="FootnoteText"/>
        <w:rPr>
          <w:rFonts w:ascii="Times New Roman" w:hAnsi="Times New Roman" w:cs="Times New Roman"/>
          <w:sz w:val="24"/>
          <w:szCs w:val="24"/>
        </w:rPr>
      </w:pPr>
      <w:r w:rsidRPr="00934E91">
        <w:rPr>
          <w:rStyle w:val="FootnoteReference"/>
          <w:rFonts w:ascii="Times New Roman" w:hAnsi="Times New Roman" w:cs="Times New Roman"/>
          <w:sz w:val="24"/>
          <w:szCs w:val="24"/>
        </w:rPr>
        <w:footnoteRef/>
      </w:r>
      <w:r w:rsidRPr="00934E91">
        <w:rPr>
          <w:rFonts w:ascii="Times New Roman" w:hAnsi="Times New Roman" w:cs="Times New Roman"/>
          <w:sz w:val="24"/>
          <w:szCs w:val="24"/>
        </w:rPr>
        <w:t xml:space="preserve"> The Saylor Foundation under a Creative Commons Attribution-</w:t>
      </w:r>
      <w:proofErr w:type="spellStart"/>
      <w:r w:rsidRPr="00934E91">
        <w:rPr>
          <w:rFonts w:ascii="Times New Roman" w:hAnsi="Times New Roman" w:cs="Times New Roman"/>
          <w:sz w:val="24"/>
          <w:szCs w:val="24"/>
        </w:rPr>
        <w:t>NonCommercial</w:t>
      </w:r>
      <w:proofErr w:type="spellEnd"/>
      <w:r w:rsidRPr="00934E91">
        <w:rPr>
          <w:rFonts w:ascii="Times New Roman" w:hAnsi="Times New Roman" w:cs="Times New Roman"/>
          <w:sz w:val="24"/>
          <w:szCs w:val="24"/>
        </w:rPr>
        <w:t>-</w:t>
      </w:r>
      <w:proofErr w:type="spellStart"/>
      <w:r w:rsidRPr="00934E91">
        <w:rPr>
          <w:rFonts w:ascii="Times New Roman" w:hAnsi="Times New Roman" w:cs="Times New Roman"/>
          <w:sz w:val="24"/>
          <w:szCs w:val="24"/>
        </w:rPr>
        <w:t>ShareAlike</w:t>
      </w:r>
      <w:proofErr w:type="spellEnd"/>
    </w:p>
  </w:footnote>
  <w:footnote w:id="29">
    <w:p w14:paraId="5FFB9EC4" w14:textId="77777777" w:rsidR="00605712" w:rsidRPr="00934E91" w:rsidRDefault="00605712" w:rsidP="00D91945">
      <w:r w:rsidRPr="00934E91">
        <w:rPr>
          <w:rStyle w:val="FootnoteReference"/>
          <w:rFonts w:ascii="Times New Roman" w:hAnsi="Times New Roman" w:cs="Times New Roman"/>
        </w:rPr>
        <w:footnoteRef/>
      </w:r>
      <w:r w:rsidRPr="00934E91">
        <w:rPr>
          <w:rFonts w:ascii="Times New Roman" w:hAnsi="Times New Roman" w:cs="Times New Roman"/>
        </w:rPr>
        <w:t xml:space="preserve"> </w:t>
      </w:r>
      <w:hyperlink r:id="rId16" w:history="1">
        <w:r w:rsidRPr="00934E91">
          <w:rPr>
            <w:rStyle w:val="Hyperlink"/>
            <w:rFonts w:ascii="Times New Roman" w:hAnsi="Times New Roman" w:cs="Times New Roman"/>
            <w:color w:val="auto"/>
            <w:shd w:val="clear" w:color="auto" w:fill="F6F6F6"/>
          </w:rPr>
          <w:t>Sociology: Understanding and Changing the Social World</w:t>
        </w:r>
      </w:hyperlink>
      <w:r w:rsidRPr="00934E91">
        <w:rPr>
          <w:rFonts w:ascii="Times New Roman" w:hAnsi="Times New Roman" w:cs="Times New Roman"/>
          <w:shd w:val="clear" w:color="auto" w:fill="F6F6F6"/>
        </w:rPr>
        <w:t> by University of Minnesota is licensed under a </w:t>
      </w:r>
      <w:hyperlink r:id="rId17" w:history="1">
        <w:r w:rsidRPr="00934E91">
          <w:rPr>
            <w:rStyle w:val="Hyperlink"/>
            <w:rFonts w:ascii="Times New Roman" w:hAnsi="Times New Roman" w:cs="Times New Roman"/>
            <w:color w:val="auto"/>
            <w:shd w:val="clear" w:color="auto" w:fill="F6F6F6"/>
          </w:rPr>
          <w:t>Creative Commons Attribution-</w:t>
        </w:r>
        <w:proofErr w:type="spellStart"/>
        <w:r w:rsidRPr="00934E91">
          <w:rPr>
            <w:rStyle w:val="Hyperlink"/>
            <w:rFonts w:ascii="Times New Roman" w:hAnsi="Times New Roman" w:cs="Times New Roman"/>
            <w:color w:val="auto"/>
            <w:shd w:val="clear" w:color="auto" w:fill="F6F6F6"/>
          </w:rPr>
          <w:t>NonCommercial</w:t>
        </w:r>
        <w:proofErr w:type="spellEnd"/>
        <w:r w:rsidRPr="00934E91">
          <w:rPr>
            <w:rStyle w:val="Hyperlink"/>
            <w:rFonts w:ascii="Times New Roman" w:hAnsi="Times New Roman" w:cs="Times New Roman"/>
            <w:color w:val="auto"/>
            <w:shd w:val="clear" w:color="auto" w:fill="F6F6F6"/>
          </w:rPr>
          <w:t>-</w:t>
        </w:r>
        <w:proofErr w:type="spellStart"/>
        <w:r w:rsidRPr="00934E91">
          <w:rPr>
            <w:rStyle w:val="Hyperlink"/>
            <w:rFonts w:ascii="Times New Roman" w:hAnsi="Times New Roman" w:cs="Times New Roman"/>
            <w:color w:val="auto"/>
            <w:shd w:val="clear" w:color="auto" w:fill="F6F6F6"/>
          </w:rPr>
          <w:t>ShareAlike</w:t>
        </w:r>
        <w:proofErr w:type="spellEnd"/>
        <w:r w:rsidRPr="00934E91">
          <w:rPr>
            <w:rStyle w:val="Hyperlink"/>
            <w:rFonts w:ascii="Times New Roman" w:hAnsi="Times New Roman" w:cs="Times New Roman"/>
            <w:color w:val="auto"/>
            <w:shd w:val="clear" w:color="auto" w:fill="F6F6F6"/>
          </w:rPr>
          <w:t xml:space="preserve"> 4.0 International License</w:t>
        </w:r>
      </w:hyperlink>
      <w:r w:rsidRPr="00934E91">
        <w:rPr>
          <w:rFonts w:ascii="Times New Roman" w:hAnsi="Times New Roman" w:cs="Times New Roman"/>
          <w:shd w:val="clear" w:color="auto" w:fill="F6F6F6"/>
        </w:rPr>
        <w:t>, except where otherwise noted.</w:t>
      </w:r>
    </w:p>
  </w:footnote>
  <w:footnote w:id="30">
    <w:p w14:paraId="5306B572" w14:textId="77777777" w:rsidR="00605712" w:rsidRPr="00934E91" w:rsidRDefault="00605712" w:rsidP="00D91945">
      <w:pPr>
        <w:pStyle w:val="FootnoteText"/>
        <w:rPr>
          <w:rFonts w:ascii="Times New Roman" w:hAnsi="Times New Roman" w:cs="Times New Roman"/>
          <w:sz w:val="24"/>
          <w:szCs w:val="24"/>
        </w:rPr>
      </w:pPr>
      <w:r w:rsidRPr="00934E91">
        <w:rPr>
          <w:rStyle w:val="FootnoteReference"/>
          <w:rFonts w:ascii="Times New Roman" w:hAnsi="Times New Roman" w:cs="Times New Roman"/>
          <w:sz w:val="24"/>
          <w:szCs w:val="24"/>
        </w:rPr>
        <w:footnoteRef/>
      </w:r>
      <w:r w:rsidRPr="00934E91">
        <w:rPr>
          <w:rFonts w:ascii="Times New Roman" w:hAnsi="Times New Roman" w:cs="Times New Roman"/>
          <w:sz w:val="24"/>
          <w:szCs w:val="24"/>
        </w:rPr>
        <w:t xml:space="preserve"> The Saylor Foundation under a Creative Commons Attribution-</w:t>
      </w:r>
      <w:proofErr w:type="spellStart"/>
      <w:r w:rsidRPr="00934E91">
        <w:rPr>
          <w:rFonts w:ascii="Times New Roman" w:hAnsi="Times New Roman" w:cs="Times New Roman"/>
          <w:sz w:val="24"/>
          <w:szCs w:val="24"/>
        </w:rPr>
        <w:t>NonCommercial</w:t>
      </w:r>
      <w:proofErr w:type="spellEnd"/>
      <w:r w:rsidRPr="00934E91">
        <w:rPr>
          <w:rFonts w:ascii="Times New Roman" w:hAnsi="Times New Roman" w:cs="Times New Roman"/>
          <w:sz w:val="24"/>
          <w:szCs w:val="24"/>
        </w:rPr>
        <w:t>-</w:t>
      </w:r>
      <w:proofErr w:type="spellStart"/>
      <w:r w:rsidRPr="00934E91">
        <w:rPr>
          <w:rFonts w:ascii="Times New Roman" w:hAnsi="Times New Roman" w:cs="Times New Roman"/>
          <w:sz w:val="24"/>
          <w:szCs w:val="24"/>
        </w:rPr>
        <w:t>ShareAlike</w:t>
      </w:r>
      <w:proofErr w:type="spellEnd"/>
    </w:p>
  </w:footnote>
  <w:footnote w:id="31">
    <w:p w14:paraId="436BB400" w14:textId="77777777" w:rsidR="00605712" w:rsidRPr="00934E91" w:rsidRDefault="00605712" w:rsidP="00D91945">
      <w:r w:rsidRPr="00934E91">
        <w:rPr>
          <w:rStyle w:val="FootnoteReference"/>
          <w:rFonts w:ascii="Times New Roman" w:hAnsi="Times New Roman" w:cs="Times New Roman"/>
        </w:rPr>
        <w:footnoteRef/>
      </w:r>
      <w:r w:rsidRPr="00934E91">
        <w:rPr>
          <w:rFonts w:ascii="Times New Roman" w:hAnsi="Times New Roman" w:cs="Times New Roman"/>
        </w:rPr>
        <w:t xml:space="preserve"> </w:t>
      </w:r>
      <w:hyperlink r:id="rId18" w:history="1">
        <w:r w:rsidRPr="00934E91">
          <w:rPr>
            <w:rStyle w:val="Hyperlink"/>
            <w:rFonts w:ascii="Times New Roman" w:hAnsi="Times New Roman" w:cs="Times New Roman"/>
            <w:color w:val="auto"/>
            <w:shd w:val="clear" w:color="auto" w:fill="F6F6F6"/>
          </w:rPr>
          <w:t>Sociology: Understanding and Changing the Social World</w:t>
        </w:r>
      </w:hyperlink>
      <w:r w:rsidRPr="00934E91">
        <w:rPr>
          <w:rFonts w:ascii="Times New Roman" w:hAnsi="Times New Roman" w:cs="Times New Roman"/>
          <w:shd w:val="clear" w:color="auto" w:fill="F6F6F6"/>
        </w:rPr>
        <w:t> by University of Minnesota is licensed under a </w:t>
      </w:r>
      <w:hyperlink r:id="rId19" w:history="1">
        <w:r w:rsidRPr="00934E91">
          <w:rPr>
            <w:rStyle w:val="Hyperlink"/>
            <w:rFonts w:ascii="Times New Roman" w:hAnsi="Times New Roman" w:cs="Times New Roman"/>
            <w:color w:val="auto"/>
            <w:shd w:val="clear" w:color="auto" w:fill="F6F6F6"/>
          </w:rPr>
          <w:t>Creative Commons Attribution-</w:t>
        </w:r>
        <w:proofErr w:type="spellStart"/>
        <w:r w:rsidRPr="00934E91">
          <w:rPr>
            <w:rStyle w:val="Hyperlink"/>
            <w:rFonts w:ascii="Times New Roman" w:hAnsi="Times New Roman" w:cs="Times New Roman"/>
            <w:color w:val="auto"/>
            <w:shd w:val="clear" w:color="auto" w:fill="F6F6F6"/>
          </w:rPr>
          <w:t>NonCommercial</w:t>
        </w:r>
        <w:proofErr w:type="spellEnd"/>
        <w:r w:rsidRPr="00934E91">
          <w:rPr>
            <w:rStyle w:val="Hyperlink"/>
            <w:rFonts w:ascii="Times New Roman" w:hAnsi="Times New Roman" w:cs="Times New Roman"/>
            <w:color w:val="auto"/>
            <w:shd w:val="clear" w:color="auto" w:fill="F6F6F6"/>
          </w:rPr>
          <w:t>-</w:t>
        </w:r>
        <w:proofErr w:type="spellStart"/>
        <w:r w:rsidRPr="00934E91">
          <w:rPr>
            <w:rStyle w:val="Hyperlink"/>
            <w:rFonts w:ascii="Times New Roman" w:hAnsi="Times New Roman" w:cs="Times New Roman"/>
            <w:color w:val="auto"/>
            <w:shd w:val="clear" w:color="auto" w:fill="F6F6F6"/>
          </w:rPr>
          <w:t>ShareAlike</w:t>
        </w:r>
        <w:proofErr w:type="spellEnd"/>
        <w:r w:rsidRPr="00934E91">
          <w:rPr>
            <w:rStyle w:val="Hyperlink"/>
            <w:rFonts w:ascii="Times New Roman" w:hAnsi="Times New Roman" w:cs="Times New Roman"/>
            <w:color w:val="auto"/>
            <w:shd w:val="clear" w:color="auto" w:fill="F6F6F6"/>
          </w:rPr>
          <w:t xml:space="preserve"> 4.0 International License</w:t>
        </w:r>
      </w:hyperlink>
      <w:r w:rsidRPr="00934E91">
        <w:rPr>
          <w:rFonts w:ascii="Times New Roman" w:hAnsi="Times New Roman" w:cs="Times New Roman"/>
          <w:shd w:val="clear" w:color="auto" w:fill="F6F6F6"/>
        </w:rPr>
        <w:t>, except where otherwise noted.</w:t>
      </w:r>
    </w:p>
  </w:footnote>
  <w:footnote w:id="32">
    <w:p w14:paraId="15E538D2" w14:textId="77777777" w:rsidR="00605712" w:rsidRPr="00934E91" w:rsidRDefault="00605712" w:rsidP="00D91945">
      <w:pPr>
        <w:pStyle w:val="FootnoteText"/>
        <w:rPr>
          <w:rFonts w:ascii="Times New Roman" w:hAnsi="Times New Roman" w:cs="Times New Roman"/>
          <w:sz w:val="24"/>
          <w:szCs w:val="24"/>
        </w:rPr>
      </w:pPr>
      <w:r w:rsidRPr="00934E91">
        <w:rPr>
          <w:rStyle w:val="FootnoteReference"/>
          <w:rFonts w:ascii="Times New Roman" w:hAnsi="Times New Roman" w:cs="Times New Roman"/>
          <w:sz w:val="24"/>
          <w:szCs w:val="24"/>
        </w:rPr>
        <w:footnoteRef/>
      </w:r>
      <w:r w:rsidRPr="00934E91">
        <w:rPr>
          <w:rFonts w:ascii="Times New Roman" w:hAnsi="Times New Roman" w:cs="Times New Roman"/>
          <w:sz w:val="24"/>
          <w:szCs w:val="24"/>
        </w:rPr>
        <w:t xml:space="preserve"> The Saylor Foundation under a Creative Commons Attribution-</w:t>
      </w:r>
      <w:proofErr w:type="spellStart"/>
      <w:r w:rsidRPr="00934E91">
        <w:rPr>
          <w:rFonts w:ascii="Times New Roman" w:hAnsi="Times New Roman" w:cs="Times New Roman"/>
          <w:sz w:val="24"/>
          <w:szCs w:val="24"/>
        </w:rPr>
        <w:t>NonCommercial</w:t>
      </w:r>
      <w:proofErr w:type="spellEnd"/>
      <w:r w:rsidRPr="00934E91">
        <w:rPr>
          <w:rFonts w:ascii="Times New Roman" w:hAnsi="Times New Roman" w:cs="Times New Roman"/>
          <w:sz w:val="24"/>
          <w:szCs w:val="24"/>
        </w:rPr>
        <w:t>-</w:t>
      </w:r>
      <w:proofErr w:type="spellStart"/>
      <w:r w:rsidRPr="00934E91">
        <w:rPr>
          <w:rFonts w:ascii="Times New Roman" w:hAnsi="Times New Roman" w:cs="Times New Roman"/>
          <w:sz w:val="24"/>
          <w:szCs w:val="24"/>
        </w:rPr>
        <w:t>ShareAlike</w:t>
      </w:r>
      <w:proofErr w:type="spellEnd"/>
    </w:p>
  </w:footnote>
  <w:footnote w:id="33">
    <w:p w14:paraId="15C19B72" w14:textId="77777777" w:rsidR="00605712" w:rsidRPr="00934E91" w:rsidRDefault="00605712" w:rsidP="00D91945">
      <w:pPr>
        <w:pStyle w:val="FootnoteText"/>
        <w:rPr>
          <w:rFonts w:ascii="Times New Roman" w:hAnsi="Times New Roman" w:cs="Times New Roman"/>
          <w:sz w:val="24"/>
          <w:szCs w:val="24"/>
        </w:rPr>
      </w:pPr>
      <w:r w:rsidRPr="00934E91">
        <w:rPr>
          <w:rStyle w:val="FootnoteReference"/>
          <w:rFonts w:ascii="Times New Roman" w:hAnsi="Times New Roman" w:cs="Times New Roman"/>
          <w:sz w:val="24"/>
          <w:szCs w:val="24"/>
        </w:rPr>
        <w:footnoteRef/>
      </w:r>
      <w:r w:rsidRPr="00934E91">
        <w:rPr>
          <w:rFonts w:ascii="Times New Roman" w:hAnsi="Times New Roman" w:cs="Times New Roman"/>
          <w:sz w:val="24"/>
          <w:szCs w:val="24"/>
        </w:rPr>
        <w:t xml:space="preserve"> </w:t>
      </w:r>
      <w:r w:rsidRPr="00934E91">
        <w:rPr>
          <w:rFonts w:ascii="Times New Roman" w:eastAsia="Times New Roman" w:hAnsi="Times New Roman" w:cs="Times New Roman"/>
          <w:sz w:val="24"/>
          <w:szCs w:val="24"/>
        </w:rPr>
        <w:t>OpenStax, Psychology. OpenStax CNX. Mar 6, 2019 http://cnx.org/contents/4abf04bf-93a0-45c3-9cbc-2cefd46e68cc@10.16.</w:t>
      </w:r>
    </w:p>
  </w:footnote>
  <w:footnote w:id="34">
    <w:p w14:paraId="3F751F02" w14:textId="77777777" w:rsidR="00605712" w:rsidRPr="00934E91" w:rsidRDefault="00605712" w:rsidP="00D91945">
      <w:r w:rsidRPr="00934E91">
        <w:rPr>
          <w:rStyle w:val="FootnoteReference"/>
          <w:rFonts w:ascii="Times New Roman" w:hAnsi="Times New Roman" w:cs="Times New Roman"/>
        </w:rPr>
        <w:footnoteRef/>
      </w:r>
      <w:r w:rsidRPr="00934E91">
        <w:rPr>
          <w:rFonts w:ascii="Times New Roman" w:hAnsi="Times New Roman" w:cs="Times New Roman"/>
        </w:rPr>
        <w:t xml:space="preserve"> </w:t>
      </w:r>
      <w:hyperlink r:id="rId20" w:history="1">
        <w:r w:rsidRPr="00934E91">
          <w:rPr>
            <w:rStyle w:val="Hyperlink"/>
            <w:rFonts w:ascii="Times New Roman" w:hAnsi="Times New Roman" w:cs="Times New Roman"/>
            <w:color w:val="auto"/>
            <w:shd w:val="clear" w:color="auto" w:fill="F6F6F6"/>
          </w:rPr>
          <w:t>Sociology: Understanding and Changing the Social World</w:t>
        </w:r>
      </w:hyperlink>
      <w:r w:rsidRPr="00934E91">
        <w:rPr>
          <w:rFonts w:ascii="Times New Roman" w:hAnsi="Times New Roman" w:cs="Times New Roman"/>
          <w:shd w:val="clear" w:color="auto" w:fill="F6F6F6"/>
        </w:rPr>
        <w:t> by University of Minnesota is licensed under a </w:t>
      </w:r>
      <w:hyperlink r:id="rId21" w:history="1">
        <w:r w:rsidRPr="00934E91">
          <w:rPr>
            <w:rStyle w:val="Hyperlink"/>
            <w:rFonts w:ascii="Times New Roman" w:hAnsi="Times New Roman" w:cs="Times New Roman"/>
            <w:color w:val="auto"/>
            <w:shd w:val="clear" w:color="auto" w:fill="F6F6F6"/>
          </w:rPr>
          <w:t>Creative Commons Attribution-</w:t>
        </w:r>
        <w:proofErr w:type="spellStart"/>
        <w:r w:rsidRPr="00934E91">
          <w:rPr>
            <w:rStyle w:val="Hyperlink"/>
            <w:rFonts w:ascii="Times New Roman" w:hAnsi="Times New Roman" w:cs="Times New Roman"/>
            <w:color w:val="auto"/>
            <w:shd w:val="clear" w:color="auto" w:fill="F6F6F6"/>
          </w:rPr>
          <w:t>NonCommercial</w:t>
        </w:r>
        <w:proofErr w:type="spellEnd"/>
        <w:r w:rsidRPr="00934E91">
          <w:rPr>
            <w:rStyle w:val="Hyperlink"/>
            <w:rFonts w:ascii="Times New Roman" w:hAnsi="Times New Roman" w:cs="Times New Roman"/>
            <w:color w:val="auto"/>
            <w:shd w:val="clear" w:color="auto" w:fill="F6F6F6"/>
          </w:rPr>
          <w:t>-</w:t>
        </w:r>
        <w:proofErr w:type="spellStart"/>
        <w:r w:rsidRPr="00934E91">
          <w:rPr>
            <w:rStyle w:val="Hyperlink"/>
            <w:rFonts w:ascii="Times New Roman" w:hAnsi="Times New Roman" w:cs="Times New Roman"/>
            <w:color w:val="auto"/>
            <w:shd w:val="clear" w:color="auto" w:fill="F6F6F6"/>
          </w:rPr>
          <w:t>ShareAlike</w:t>
        </w:r>
        <w:proofErr w:type="spellEnd"/>
        <w:r w:rsidRPr="00934E91">
          <w:rPr>
            <w:rStyle w:val="Hyperlink"/>
            <w:rFonts w:ascii="Times New Roman" w:hAnsi="Times New Roman" w:cs="Times New Roman"/>
            <w:color w:val="auto"/>
            <w:shd w:val="clear" w:color="auto" w:fill="F6F6F6"/>
          </w:rPr>
          <w:t xml:space="preserve"> 4.0 International License</w:t>
        </w:r>
      </w:hyperlink>
      <w:r w:rsidRPr="00934E91">
        <w:rPr>
          <w:rFonts w:ascii="Times New Roman" w:hAnsi="Times New Roman" w:cs="Times New Roman"/>
          <w:shd w:val="clear" w:color="auto" w:fill="F6F6F6"/>
        </w:rPr>
        <w:t>, except where otherwise noted.</w:t>
      </w:r>
    </w:p>
  </w:footnote>
  <w:footnote w:id="35">
    <w:p w14:paraId="0B336B38" w14:textId="77777777" w:rsidR="00605712" w:rsidRPr="00934E91" w:rsidRDefault="00605712" w:rsidP="00D91945">
      <w:pPr>
        <w:pStyle w:val="FootnoteText"/>
        <w:rPr>
          <w:rFonts w:ascii="Times New Roman" w:hAnsi="Times New Roman" w:cs="Times New Roman"/>
          <w:sz w:val="24"/>
          <w:szCs w:val="24"/>
        </w:rPr>
      </w:pPr>
      <w:r w:rsidRPr="00934E91">
        <w:rPr>
          <w:rStyle w:val="FootnoteReference"/>
          <w:rFonts w:ascii="Times New Roman" w:hAnsi="Times New Roman" w:cs="Times New Roman"/>
          <w:sz w:val="24"/>
          <w:szCs w:val="24"/>
        </w:rPr>
        <w:footnoteRef/>
      </w:r>
      <w:r w:rsidRPr="00934E91">
        <w:rPr>
          <w:rFonts w:ascii="Times New Roman" w:hAnsi="Times New Roman" w:cs="Times New Roman"/>
          <w:sz w:val="24"/>
          <w:szCs w:val="24"/>
        </w:rPr>
        <w:t xml:space="preserve"> The Saylor Foundation under a Creative Commons Attribution-</w:t>
      </w:r>
      <w:proofErr w:type="spellStart"/>
      <w:r w:rsidRPr="00934E91">
        <w:rPr>
          <w:rFonts w:ascii="Times New Roman" w:hAnsi="Times New Roman" w:cs="Times New Roman"/>
          <w:sz w:val="24"/>
          <w:szCs w:val="24"/>
        </w:rPr>
        <w:t>NonCommercial</w:t>
      </w:r>
      <w:proofErr w:type="spellEnd"/>
      <w:r w:rsidRPr="00934E91">
        <w:rPr>
          <w:rFonts w:ascii="Times New Roman" w:hAnsi="Times New Roman" w:cs="Times New Roman"/>
          <w:sz w:val="24"/>
          <w:szCs w:val="24"/>
        </w:rPr>
        <w:t>-</w:t>
      </w:r>
      <w:proofErr w:type="spellStart"/>
      <w:r w:rsidRPr="00934E91">
        <w:rPr>
          <w:rFonts w:ascii="Times New Roman" w:hAnsi="Times New Roman" w:cs="Times New Roman"/>
          <w:sz w:val="24"/>
          <w:szCs w:val="24"/>
        </w:rPr>
        <w:t>ShareAlike</w:t>
      </w:r>
      <w:proofErr w:type="spellEnd"/>
    </w:p>
  </w:footnote>
  <w:footnote w:id="36">
    <w:p w14:paraId="4EA4EE80" w14:textId="77777777" w:rsidR="00605712" w:rsidRPr="00934E91" w:rsidRDefault="00605712" w:rsidP="00D91945">
      <w:pPr>
        <w:pStyle w:val="FootnoteText"/>
        <w:rPr>
          <w:rFonts w:ascii="Times New Roman" w:hAnsi="Times New Roman" w:cs="Times New Roman"/>
          <w:sz w:val="24"/>
          <w:szCs w:val="24"/>
        </w:rPr>
      </w:pPr>
      <w:r w:rsidRPr="00934E91">
        <w:rPr>
          <w:rStyle w:val="FootnoteReference"/>
          <w:rFonts w:ascii="Times New Roman" w:hAnsi="Times New Roman" w:cs="Times New Roman"/>
          <w:sz w:val="24"/>
          <w:szCs w:val="24"/>
        </w:rPr>
        <w:footnoteRef/>
      </w:r>
      <w:r w:rsidRPr="00934E91">
        <w:rPr>
          <w:rFonts w:ascii="Times New Roman" w:hAnsi="Times New Roman" w:cs="Times New Roman"/>
          <w:sz w:val="24"/>
          <w:szCs w:val="24"/>
        </w:rPr>
        <w:t xml:space="preserve"> </w:t>
      </w:r>
      <w:r w:rsidRPr="005E11F4">
        <w:rPr>
          <w:rFonts w:ascii="Times New Roman" w:hAnsi="Times New Roman" w:cs="Times New Roman"/>
        </w:rPr>
        <w:t xml:space="preserve">In order to make this </w:t>
      </w:r>
      <w:proofErr w:type="gramStart"/>
      <w:r w:rsidRPr="005E11F4">
        <w:rPr>
          <w:rFonts w:ascii="Times New Roman" w:hAnsi="Times New Roman" w:cs="Times New Roman"/>
        </w:rPr>
        <w:t>book  as</w:t>
      </w:r>
      <w:proofErr w:type="gramEnd"/>
      <w:r w:rsidRPr="005E11F4">
        <w:rPr>
          <w:rFonts w:ascii="Times New Roman" w:hAnsi="Times New Roman" w:cs="Times New Roman"/>
        </w:rPr>
        <w:t xml:space="preserve"> relevant to our students as possible, the author added this paragraph</w:t>
      </w:r>
    </w:p>
  </w:footnote>
  <w:footnote w:id="37">
    <w:p w14:paraId="4A75B8C9" w14:textId="77777777" w:rsidR="00605712" w:rsidRDefault="00605712" w:rsidP="00D91945">
      <w:pPr>
        <w:pStyle w:val="FootnoteText"/>
      </w:pPr>
      <w:r>
        <w:rPr>
          <w:rStyle w:val="FootnoteReference"/>
        </w:rPr>
        <w:footnoteRef/>
      </w:r>
      <w:r>
        <w:t xml:space="preserve"> This section is taken from Engaging Communities by Suzanne Blum Malley and Ames Hawkins is licensed under a Creative Commons Attribution-NonCommercial-ShareAlike 3.0 Unported License.</w:t>
      </w:r>
    </w:p>
    <w:p w14:paraId="213EC1A6" w14:textId="77777777" w:rsidR="00605712" w:rsidRDefault="00605712" w:rsidP="00D91945">
      <w:pPr>
        <w:pStyle w:val="FootnoteText"/>
      </w:pPr>
      <w:r>
        <w:t>Based on a work at http://www.engagingcommunities.org.</w:t>
      </w:r>
    </w:p>
  </w:footnote>
  <w:footnote w:id="38">
    <w:p w14:paraId="7F97D3D8" w14:textId="77777777" w:rsidR="00605712" w:rsidRDefault="00605712" w:rsidP="00D91945">
      <w:pPr>
        <w:pStyle w:val="FootnoteText"/>
      </w:pPr>
      <w:r>
        <w:rPr>
          <w:rStyle w:val="FootnoteReference"/>
        </w:rPr>
        <w:footnoteRef/>
      </w:r>
      <w:r>
        <w:t xml:space="preserve"> This section is adapted from Engaging Communities by Suzanne Blum Malley and Ames Hawkins is licensed under a Creative Commons Attribution-NonCommercial-ShareAlike 3.0 Unported License.</w:t>
      </w:r>
    </w:p>
    <w:p w14:paraId="7EA6FDCD" w14:textId="77777777" w:rsidR="00605712" w:rsidRDefault="00605712" w:rsidP="00D91945">
      <w:pPr>
        <w:pStyle w:val="FootnoteText"/>
      </w:pPr>
      <w:r>
        <w:t>Based on a work at http://www.engagingcommunities.org</w:t>
      </w:r>
    </w:p>
  </w:footnote>
  <w:footnote w:id="39">
    <w:p w14:paraId="676396E2" w14:textId="77777777" w:rsidR="00605712" w:rsidRDefault="00605712" w:rsidP="00D91945">
      <w:pPr>
        <w:pStyle w:val="FootnoteText"/>
      </w:pPr>
      <w:r>
        <w:rPr>
          <w:rStyle w:val="FootnoteReference"/>
        </w:rPr>
        <w:footnoteRef/>
      </w:r>
      <w:r>
        <w:t xml:space="preserve"> This section is adapted from Engaging Communities by Suzanne Blum Malley and Ames Hawkins is licensed under a Creative Commons Attribution-NonCommercial-ShareAlike 3.0 Unported License.</w:t>
      </w:r>
    </w:p>
    <w:p w14:paraId="72A04E37" w14:textId="77777777" w:rsidR="00605712" w:rsidRDefault="00605712" w:rsidP="00D91945">
      <w:pPr>
        <w:pStyle w:val="FootnoteText"/>
      </w:pPr>
      <w:r>
        <w:t>Based on a work at http://www.engagingcommunities.org</w:t>
      </w:r>
    </w:p>
  </w:footnote>
  <w:footnote w:id="40">
    <w:p w14:paraId="0AE58653" w14:textId="77777777" w:rsidR="00605712" w:rsidRPr="00154176" w:rsidRDefault="00605712" w:rsidP="00D91945">
      <w:pPr>
        <w:pStyle w:val="FootnoteText"/>
        <w:rPr>
          <w:i/>
          <w:iCs/>
        </w:rPr>
      </w:pPr>
      <w:r>
        <w:rPr>
          <w:rStyle w:val="FootnoteReference"/>
        </w:rPr>
        <w:footnoteRef/>
      </w:r>
      <w:r>
        <w:t xml:space="preserve"> This section is adapted with permission from the author, Robert Labaree of </w:t>
      </w:r>
      <w:r w:rsidRPr="00154176">
        <w:rPr>
          <w:i/>
          <w:iCs/>
        </w:rPr>
        <w:t>Organizing Your Social Sciences Research Paper</w:t>
      </w:r>
      <w:r w:rsidRPr="008D6E96">
        <w:t xml:space="preserve"> https://libguides.usc.edu/writingguide/fieldnotes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7FBC"/>
    <w:multiLevelType w:val="multilevel"/>
    <w:tmpl w:val="2B6AF7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800E83"/>
    <w:multiLevelType w:val="hybridMultilevel"/>
    <w:tmpl w:val="CD085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E3315"/>
    <w:multiLevelType w:val="hybridMultilevel"/>
    <w:tmpl w:val="222EB06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5C1650"/>
    <w:multiLevelType w:val="hybridMultilevel"/>
    <w:tmpl w:val="49AE30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F599A"/>
    <w:multiLevelType w:val="hybridMultilevel"/>
    <w:tmpl w:val="620E0EB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3F0F63"/>
    <w:multiLevelType w:val="hybridMultilevel"/>
    <w:tmpl w:val="74FAFF9C"/>
    <w:lvl w:ilvl="0" w:tplc="986CE51C">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3B0315"/>
    <w:multiLevelType w:val="hybridMultilevel"/>
    <w:tmpl w:val="64D4A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61827"/>
    <w:multiLevelType w:val="hybridMultilevel"/>
    <w:tmpl w:val="74126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E111C8"/>
    <w:multiLevelType w:val="hybridMultilevel"/>
    <w:tmpl w:val="918AC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B71426"/>
    <w:multiLevelType w:val="hybridMultilevel"/>
    <w:tmpl w:val="7E6A2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6D32E8"/>
    <w:multiLevelType w:val="hybridMultilevel"/>
    <w:tmpl w:val="FCAA88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5212B3"/>
    <w:multiLevelType w:val="hybridMultilevel"/>
    <w:tmpl w:val="5510C3E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2B5199"/>
    <w:multiLevelType w:val="hybridMultilevel"/>
    <w:tmpl w:val="38347B9A"/>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3" w15:restartNumberingAfterBreak="0">
    <w:nsid w:val="27577D3E"/>
    <w:multiLevelType w:val="hybridMultilevel"/>
    <w:tmpl w:val="220EF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7BF7E6F"/>
    <w:multiLevelType w:val="hybridMultilevel"/>
    <w:tmpl w:val="63CE5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923591"/>
    <w:multiLevelType w:val="hybridMultilevel"/>
    <w:tmpl w:val="56567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0E711F"/>
    <w:multiLevelType w:val="multilevel"/>
    <w:tmpl w:val="9AF8BF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F53331F"/>
    <w:multiLevelType w:val="hybridMultilevel"/>
    <w:tmpl w:val="9940A58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061F81"/>
    <w:multiLevelType w:val="hybridMultilevel"/>
    <w:tmpl w:val="7EA29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0A7712"/>
    <w:multiLevelType w:val="multilevel"/>
    <w:tmpl w:val="88B035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15B2D1F"/>
    <w:multiLevelType w:val="hybridMultilevel"/>
    <w:tmpl w:val="7668C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46D6ADD"/>
    <w:multiLevelType w:val="hybridMultilevel"/>
    <w:tmpl w:val="D5FA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7B318D"/>
    <w:multiLevelType w:val="hybridMultilevel"/>
    <w:tmpl w:val="7BD0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314DBC"/>
    <w:multiLevelType w:val="hybridMultilevel"/>
    <w:tmpl w:val="B23892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BE0AC4"/>
    <w:multiLevelType w:val="hybridMultilevel"/>
    <w:tmpl w:val="D082AC2A"/>
    <w:lvl w:ilvl="0" w:tplc="A502E2A8">
      <w:start w:val="2"/>
      <w:numFmt w:val="decimal"/>
      <w:lvlText w:val="%1"/>
      <w:lvlJc w:val="left"/>
      <w:pPr>
        <w:ind w:left="360" w:hanging="360"/>
      </w:pPr>
      <w:rPr>
        <w:rFonts w:hint="default"/>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32528BC"/>
    <w:multiLevelType w:val="multilevel"/>
    <w:tmpl w:val="EFD2C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47617E0"/>
    <w:multiLevelType w:val="hybridMultilevel"/>
    <w:tmpl w:val="F5EE5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032253"/>
    <w:multiLevelType w:val="hybridMultilevel"/>
    <w:tmpl w:val="0728DA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EF7E31"/>
    <w:multiLevelType w:val="hybridMultilevel"/>
    <w:tmpl w:val="D996D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AD647D"/>
    <w:multiLevelType w:val="hybridMultilevel"/>
    <w:tmpl w:val="9F74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FF3CD5"/>
    <w:multiLevelType w:val="hybridMultilevel"/>
    <w:tmpl w:val="ADAE8B4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272A95"/>
    <w:multiLevelType w:val="hybridMultilevel"/>
    <w:tmpl w:val="A87AC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564F70"/>
    <w:multiLevelType w:val="hybridMultilevel"/>
    <w:tmpl w:val="8D465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7522D9"/>
    <w:multiLevelType w:val="hybridMultilevel"/>
    <w:tmpl w:val="3A96D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5E16C2"/>
    <w:multiLevelType w:val="multilevel"/>
    <w:tmpl w:val="9AF8BF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D537F77"/>
    <w:multiLevelType w:val="hybridMultilevel"/>
    <w:tmpl w:val="637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1645FF"/>
    <w:multiLevelType w:val="hybridMultilevel"/>
    <w:tmpl w:val="C3EA6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EA367E3"/>
    <w:multiLevelType w:val="hybridMultilevel"/>
    <w:tmpl w:val="624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C90B4B"/>
    <w:multiLevelType w:val="hybridMultilevel"/>
    <w:tmpl w:val="FC5C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6A010D"/>
    <w:multiLevelType w:val="hybridMultilevel"/>
    <w:tmpl w:val="0E485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C76445"/>
    <w:multiLevelType w:val="hybridMultilevel"/>
    <w:tmpl w:val="D8C8F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515070"/>
    <w:multiLevelType w:val="hybridMultilevel"/>
    <w:tmpl w:val="5AF03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5F4A96"/>
    <w:multiLevelType w:val="hybridMultilevel"/>
    <w:tmpl w:val="63A2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0879C7"/>
    <w:multiLevelType w:val="hybridMultilevel"/>
    <w:tmpl w:val="409AB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244A55"/>
    <w:multiLevelType w:val="hybridMultilevel"/>
    <w:tmpl w:val="A6A8F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140882"/>
    <w:multiLevelType w:val="multilevel"/>
    <w:tmpl w:val="2B1A12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78A06D78"/>
    <w:multiLevelType w:val="hybridMultilevel"/>
    <w:tmpl w:val="7E6A2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976179"/>
    <w:multiLevelType w:val="hybridMultilevel"/>
    <w:tmpl w:val="95B27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CA5531"/>
    <w:multiLevelType w:val="hybridMultilevel"/>
    <w:tmpl w:val="1320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5F3F96"/>
    <w:multiLevelType w:val="hybridMultilevel"/>
    <w:tmpl w:val="23F00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4"/>
  </w:num>
  <w:num w:numId="3">
    <w:abstractNumId w:val="4"/>
  </w:num>
  <w:num w:numId="4">
    <w:abstractNumId w:val="10"/>
  </w:num>
  <w:num w:numId="5">
    <w:abstractNumId w:val="11"/>
  </w:num>
  <w:num w:numId="6">
    <w:abstractNumId w:val="2"/>
  </w:num>
  <w:num w:numId="7">
    <w:abstractNumId w:val="17"/>
  </w:num>
  <w:num w:numId="8">
    <w:abstractNumId w:val="30"/>
  </w:num>
  <w:num w:numId="9">
    <w:abstractNumId w:val="46"/>
  </w:num>
  <w:num w:numId="10">
    <w:abstractNumId w:val="47"/>
  </w:num>
  <w:num w:numId="11">
    <w:abstractNumId w:val="27"/>
  </w:num>
  <w:num w:numId="12">
    <w:abstractNumId w:val="9"/>
  </w:num>
  <w:num w:numId="13">
    <w:abstractNumId w:val="7"/>
  </w:num>
  <w:num w:numId="14">
    <w:abstractNumId w:val="44"/>
  </w:num>
  <w:num w:numId="15">
    <w:abstractNumId w:val="37"/>
  </w:num>
  <w:num w:numId="16">
    <w:abstractNumId w:val="6"/>
  </w:num>
  <w:num w:numId="17">
    <w:abstractNumId w:val="18"/>
  </w:num>
  <w:num w:numId="18">
    <w:abstractNumId w:val="15"/>
  </w:num>
  <w:num w:numId="19">
    <w:abstractNumId w:val="34"/>
  </w:num>
  <w:num w:numId="20">
    <w:abstractNumId w:val="35"/>
  </w:num>
  <w:num w:numId="21">
    <w:abstractNumId w:val="16"/>
  </w:num>
  <w:num w:numId="22">
    <w:abstractNumId w:val="33"/>
  </w:num>
  <w:num w:numId="23">
    <w:abstractNumId w:val="14"/>
  </w:num>
  <w:num w:numId="24">
    <w:abstractNumId w:val="32"/>
  </w:num>
  <w:num w:numId="25">
    <w:abstractNumId w:val="40"/>
  </w:num>
  <w:num w:numId="26">
    <w:abstractNumId w:val="21"/>
  </w:num>
  <w:num w:numId="27">
    <w:abstractNumId w:val="41"/>
  </w:num>
  <w:num w:numId="28">
    <w:abstractNumId w:val="23"/>
  </w:num>
  <w:num w:numId="29">
    <w:abstractNumId w:val="39"/>
  </w:num>
  <w:num w:numId="30">
    <w:abstractNumId w:val="43"/>
  </w:num>
  <w:num w:numId="31">
    <w:abstractNumId w:val="22"/>
  </w:num>
  <w:num w:numId="32">
    <w:abstractNumId w:val="29"/>
  </w:num>
  <w:num w:numId="33">
    <w:abstractNumId w:val="38"/>
  </w:num>
  <w:num w:numId="34">
    <w:abstractNumId w:val="12"/>
  </w:num>
  <w:num w:numId="35">
    <w:abstractNumId w:val="28"/>
  </w:num>
  <w:num w:numId="36">
    <w:abstractNumId w:val="36"/>
  </w:num>
  <w:num w:numId="37">
    <w:abstractNumId w:val="31"/>
  </w:num>
  <w:num w:numId="38">
    <w:abstractNumId w:val="42"/>
  </w:num>
  <w:num w:numId="39">
    <w:abstractNumId w:val="26"/>
  </w:num>
  <w:num w:numId="40">
    <w:abstractNumId w:val="49"/>
  </w:num>
  <w:num w:numId="41">
    <w:abstractNumId w:val="3"/>
  </w:num>
  <w:num w:numId="42">
    <w:abstractNumId w:val="25"/>
  </w:num>
  <w:num w:numId="43">
    <w:abstractNumId w:val="0"/>
  </w:num>
  <w:num w:numId="44">
    <w:abstractNumId w:val="19"/>
  </w:num>
  <w:num w:numId="45">
    <w:abstractNumId w:val="45"/>
  </w:num>
  <w:num w:numId="46">
    <w:abstractNumId w:val="20"/>
  </w:num>
  <w:num w:numId="47">
    <w:abstractNumId w:val="13"/>
  </w:num>
  <w:num w:numId="48">
    <w:abstractNumId w:val="8"/>
  </w:num>
  <w:num w:numId="49">
    <w:abstractNumId w:val="1"/>
  </w:num>
  <w:num w:numId="50">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F75"/>
    <w:rsid w:val="00046204"/>
    <w:rsid w:val="000959AA"/>
    <w:rsid w:val="000A4FB0"/>
    <w:rsid w:val="000D54A5"/>
    <w:rsid w:val="000F4566"/>
    <w:rsid w:val="00156822"/>
    <w:rsid w:val="00196B2E"/>
    <w:rsid w:val="001D7746"/>
    <w:rsid w:val="00306DAA"/>
    <w:rsid w:val="004272FB"/>
    <w:rsid w:val="00437A8B"/>
    <w:rsid w:val="00447331"/>
    <w:rsid w:val="004D4803"/>
    <w:rsid w:val="00605712"/>
    <w:rsid w:val="00685FFB"/>
    <w:rsid w:val="006928B6"/>
    <w:rsid w:val="009729EA"/>
    <w:rsid w:val="00AB6B37"/>
    <w:rsid w:val="00AF7E4E"/>
    <w:rsid w:val="00C23CDB"/>
    <w:rsid w:val="00C37F0E"/>
    <w:rsid w:val="00D3070C"/>
    <w:rsid w:val="00D56F75"/>
    <w:rsid w:val="00D91945"/>
    <w:rsid w:val="00E72AD3"/>
    <w:rsid w:val="00F219DD"/>
    <w:rsid w:val="00F26841"/>
    <w:rsid w:val="00FF1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5627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F7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1B4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F1B4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91945"/>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F7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D56F75"/>
    <w:rPr>
      <w:color w:val="0563C1" w:themeColor="hyperlink"/>
      <w:u w:val="single"/>
    </w:rPr>
  </w:style>
  <w:style w:type="paragraph" w:styleId="ListParagraph">
    <w:name w:val="List Paragraph"/>
    <w:basedOn w:val="Normal"/>
    <w:uiPriority w:val="34"/>
    <w:qFormat/>
    <w:rsid w:val="001D7746"/>
    <w:pPr>
      <w:ind w:left="720"/>
      <w:contextualSpacing/>
    </w:pPr>
  </w:style>
  <w:style w:type="character" w:customStyle="1" w:styleId="Heading2Char">
    <w:name w:val="Heading 2 Char"/>
    <w:basedOn w:val="DefaultParagraphFont"/>
    <w:link w:val="Heading2"/>
    <w:uiPriority w:val="9"/>
    <w:rsid w:val="00FF1B4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F1B42"/>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F26841"/>
    <w:rPr>
      <w:color w:val="605E5C"/>
      <w:shd w:val="clear" w:color="auto" w:fill="E1DFDD"/>
    </w:rPr>
  </w:style>
  <w:style w:type="character" w:customStyle="1" w:styleId="e24kjd">
    <w:name w:val="e24kjd"/>
    <w:basedOn w:val="DefaultParagraphFont"/>
    <w:rsid w:val="00306DAA"/>
  </w:style>
  <w:style w:type="paragraph" w:styleId="NoSpacing">
    <w:name w:val="No Spacing"/>
    <w:uiPriority w:val="1"/>
    <w:qFormat/>
    <w:rsid w:val="00306DAA"/>
    <w:rPr>
      <w:rFonts w:ascii="Times New Roman" w:hAnsi="Times New Roman"/>
      <w:bCs/>
      <w:szCs w:val="22"/>
    </w:rPr>
  </w:style>
  <w:style w:type="paragraph" w:styleId="EndnoteText">
    <w:name w:val="endnote text"/>
    <w:basedOn w:val="Normal"/>
    <w:link w:val="EndnoteTextChar"/>
    <w:uiPriority w:val="99"/>
    <w:semiHidden/>
    <w:unhideWhenUsed/>
    <w:rsid w:val="00306DAA"/>
    <w:rPr>
      <w:rFonts w:ascii="Arial" w:eastAsia="Arial" w:hAnsi="Arial" w:cs="Arial"/>
      <w:sz w:val="20"/>
      <w:szCs w:val="20"/>
      <w:lang w:val="en"/>
    </w:rPr>
  </w:style>
  <w:style w:type="character" w:customStyle="1" w:styleId="EndnoteTextChar">
    <w:name w:val="Endnote Text Char"/>
    <w:basedOn w:val="DefaultParagraphFont"/>
    <w:link w:val="EndnoteText"/>
    <w:uiPriority w:val="99"/>
    <w:semiHidden/>
    <w:rsid w:val="00306DAA"/>
    <w:rPr>
      <w:rFonts w:ascii="Arial" w:eastAsia="Arial" w:hAnsi="Arial" w:cs="Arial"/>
      <w:sz w:val="20"/>
      <w:szCs w:val="20"/>
      <w:lang w:val="en"/>
    </w:rPr>
  </w:style>
  <w:style w:type="character" w:styleId="EndnoteReference">
    <w:name w:val="endnote reference"/>
    <w:basedOn w:val="DefaultParagraphFont"/>
    <w:uiPriority w:val="99"/>
    <w:semiHidden/>
    <w:unhideWhenUsed/>
    <w:rsid w:val="00306DAA"/>
    <w:rPr>
      <w:vertAlign w:val="superscript"/>
    </w:rPr>
  </w:style>
  <w:style w:type="paragraph" w:customStyle="1" w:styleId="fqsreferenceentry">
    <w:name w:val="fqsreferenceentry"/>
    <w:basedOn w:val="Normal"/>
    <w:rsid w:val="00306DAA"/>
    <w:pPr>
      <w:spacing w:before="100" w:beforeAutospacing="1" w:after="100" w:afterAutospacing="1"/>
    </w:pPr>
    <w:rPr>
      <w:rFonts w:ascii="Times New Roman" w:eastAsia="Times New Roman" w:hAnsi="Times New Roman" w:cs="Times New Roman"/>
    </w:rPr>
  </w:style>
  <w:style w:type="character" w:customStyle="1" w:styleId="fqscharitalic">
    <w:name w:val="fqscharitalic"/>
    <w:basedOn w:val="DefaultParagraphFont"/>
    <w:rsid w:val="00306DAA"/>
  </w:style>
  <w:style w:type="paragraph" w:styleId="FootnoteText">
    <w:name w:val="footnote text"/>
    <w:basedOn w:val="Normal"/>
    <w:link w:val="FootnoteTextChar"/>
    <w:uiPriority w:val="99"/>
    <w:semiHidden/>
    <w:unhideWhenUsed/>
    <w:rsid w:val="00306DAA"/>
    <w:rPr>
      <w:sz w:val="20"/>
      <w:szCs w:val="20"/>
    </w:rPr>
  </w:style>
  <w:style w:type="character" w:customStyle="1" w:styleId="FootnoteTextChar">
    <w:name w:val="Footnote Text Char"/>
    <w:basedOn w:val="DefaultParagraphFont"/>
    <w:link w:val="FootnoteText"/>
    <w:uiPriority w:val="99"/>
    <w:semiHidden/>
    <w:rsid w:val="00306DAA"/>
    <w:rPr>
      <w:sz w:val="20"/>
      <w:szCs w:val="20"/>
    </w:rPr>
  </w:style>
  <w:style w:type="character" w:styleId="FootnoteReference">
    <w:name w:val="footnote reference"/>
    <w:basedOn w:val="DefaultParagraphFont"/>
    <w:uiPriority w:val="99"/>
    <w:semiHidden/>
    <w:unhideWhenUsed/>
    <w:rsid w:val="00306DAA"/>
    <w:rPr>
      <w:vertAlign w:val="superscript"/>
    </w:rPr>
  </w:style>
  <w:style w:type="paragraph" w:styleId="NormalWeb">
    <w:name w:val="Normal (Web)"/>
    <w:basedOn w:val="Normal"/>
    <w:uiPriority w:val="99"/>
    <w:semiHidden/>
    <w:unhideWhenUsed/>
    <w:rsid w:val="00D91945"/>
    <w:pPr>
      <w:spacing w:before="100" w:beforeAutospacing="1" w:after="100" w:afterAutospacing="1"/>
    </w:pPr>
    <w:rPr>
      <w:rFonts w:ascii="Times New Roman" w:eastAsia="Times New Roman" w:hAnsi="Times New Roman" w:cs="Times New Roman"/>
    </w:rPr>
  </w:style>
  <w:style w:type="paragraph" w:customStyle="1" w:styleId="para">
    <w:name w:val="para"/>
    <w:basedOn w:val="Normal"/>
    <w:rsid w:val="00D9194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91945"/>
    <w:rPr>
      <w:i/>
      <w:iCs/>
    </w:rPr>
  </w:style>
  <w:style w:type="paragraph" w:styleId="Bibliography">
    <w:name w:val="Bibliography"/>
    <w:basedOn w:val="Normal"/>
    <w:next w:val="Normal"/>
    <w:uiPriority w:val="37"/>
    <w:semiHidden/>
    <w:unhideWhenUsed/>
    <w:rsid w:val="00D91945"/>
  </w:style>
  <w:style w:type="paragraph" w:styleId="Quote">
    <w:name w:val="Quote"/>
    <w:basedOn w:val="Normal"/>
    <w:next w:val="Normal"/>
    <w:link w:val="QuoteChar"/>
    <w:uiPriority w:val="29"/>
    <w:qFormat/>
    <w:rsid w:val="00D91945"/>
    <w:pPr>
      <w:ind w:left="720"/>
    </w:pPr>
    <w:rPr>
      <w:rFonts w:ascii="Times New Roman" w:hAnsi="Times New Roman" w:cs="Times New Roman"/>
      <w:sz w:val="20"/>
      <w:szCs w:val="20"/>
    </w:rPr>
  </w:style>
  <w:style w:type="character" w:customStyle="1" w:styleId="QuoteChar">
    <w:name w:val="Quote Char"/>
    <w:basedOn w:val="DefaultParagraphFont"/>
    <w:link w:val="Quote"/>
    <w:uiPriority w:val="29"/>
    <w:rsid w:val="00D91945"/>
    <w:rPr>
      <w:rFonts w:ascii="Times New Roman" w:hAnsi="Times New Roman" w:cs="Times New Roman"/>
      <w:sz w:val="20"/>
      <w:szCs w:val="20"/>
    </w:rPr>
  </w:style>
  <w:style w:type="paragraph" w:styleId="Caption">
    <w:name w:val="caption"/>
    <w:basedOn w:val="Normal"/>
    <w:next w:val="Normal"/>
    <w:uiPriority w:val="35"/>
    <w:unhideWhenUsed/>
    <w:qFormat/>
    <w:rsid w:val="00D91945"/>
    <w:pPr>
      <w:spacing w:after="200"/>
      <w:jc w:val="center"/>
    </w:pPr>
    <w:rPr>
      <w:rFonts w:ascii="Times New Roman" w:hAnsi="Times New Roman" w:cs="Times New Roman"/>
      <w:i/>
      <w:iCs/>
      <w:color w:val="000000" w:themeColor="text1"/>
      <w:sz w:val="20"/>
      <w:szCs w:val="20"/>
    </w:rPr>
  </w:style>
  <w:style w:type="character" w:customStyle="1" w:styleId="Heading4Char">
    <w:name w:val="Heading 4 Char"/>
    <w:basedOn w:val="DefaultParagraphFont"/>
    <w:link w:val="Heading4"/>
    <w:uiPriority w:val="9"/>
    <w:rsid w:val="00D91945"/>
    <w:rPr>
      <w:rFonts w:asciiTheme="majorHAnsi" w:eastAsiaTheme="majorEastAsia" w:hAnsiTheme="majorHAnsi" w:cstheme="majorBidi"/>
      <w:i/>
      <w:iCs/>
      <w:color w:val="2F5496" w:themeColor="accent1" w:themeShade="BF"/>
      <w:sz w:val="22"/>
      <w:szCs w:val="22"/>
    </w:rPr>
  </w:style>
  <w:style w:type="character" w:customStyle="1" w:styleId="no-emphasis">
    <w:name w:val="no-emphasis"/>
    <w:basedOn w:val="DefaultParagraphFont"/>
    <w:rsid w:val="00D91945"/>
  </w:style>
  <w:style w:type="table" w:styleId="TableGrid">
    <w:name w:val="Table Grid"/>
    <w:basedOn w:val="TableNormal"/>
    <w:uiPriority w:val="39"/>
    <w:rsid w:val="00D9194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D91945"/>
  </w:style>
  <w:style w:type="paragraph" w:styleId="BalloonText">
    <w:name w:val="Balloon Text"/>
    <w:basedOn w:val="Normal"/>
    <w:link w:val="BalloonTextChar"/>
    <w:uiPriority w:val="99"/>
    <w:semiHidden/>
    <w:unhideWhenUsed/>
    <w:rsid w:val="00D919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1945"/>
    <w:rPr>
      <w:rFonts w:ascii="Lucida Grande" w:hAnsi="Lucida Grande" w:cs="Lucida Grande"/>
      <w:sz w:val="18"/>
      <w:szCs w:val="18"/>
    </w:rPr>
  </w:style>
  <w:style w:type="character" w:styleId="CommentReference">
    <w:name w:val="annotation reference"/>
    <w:basedOn w:val="DefaultParagraphFont"/>
    <w:uiPriority w:val="99"/>
    <w:semiHidden/>
    <w:unhideWhenUsed/>
    <w:rsid w:val="00D91945"/>
    <w:rPr>
      <w:sz w:val="16"/>
      <w:szCs w:val="16"/>
    </w:rPr>
  </w:style>
  <w:style w:type="paragraph" w:styleId="CommentText">
    <w:name w:val="annotation text"/>
    <w:basedOn w:val="Normal"/>
    <w:link w:val="CommentTextChar"/>
    <w:uiPriority w:val="99"/>
    <w:semiHidden/>
    <w:unhideWhenUsed/>
    <w:rsid w:val="00D91945"/>
    <w:rPr>
      <w:sz w:val="20"/>
      <w:szCs w:val="20"/>
    </w:rPr>
  </w:style>
  <w:style w:type="character" w:customStyle="1" w:styleId="CommentTextChar">
    <w:name w:val="Comment Text Char"/>
    <w:basedOn w:val="DefaultParagraphFont"/>
    <w:link w:val="CommentText"/>
    <w:uiPriority w:val="99"/>
    <w:semiHidden/>
    <w:rsid w:val="00D91945"/>
    <w:rPr>
      <w:sz w:val="20"/>
      <w:szCs w:val="20"/>
    </w:rPr>
  </w:style>
  <w:style w:type="paragraph" w:styleId="CommentSubject">
    <w:name w:val="annotation subject"/>
    <w:basedOn w:val="CommentText"/>
    <w:next w:val="CommentText"/>
    <w:link w:val="CommentSubjectChar"/>
    <w:uiPriority w:val="99"/>
    <w:semiHidden/>
    <w:unhideWhenUsed/>
    <w:rsid w:val="00D91945"/>
    <w:rPr>
      <w:b/>
      <w:bCs/>
    </w:rPr>
  </w:style>
  <w:style w:type="character" w:customStyle="1" w:styleId="CommentSubjectChar">
    <w:name w:val="Comment Subject Char"/>
    <w:basedOn w:val="CommentTextChar"/>
    <w:link w:val="CommentSubject"/>
    <w:uiPriority w:val="99"/>
    <w:semiHidden/>
    <w:rsid w:val="00D91945"/>
    <w:rPr>
      <w:b/>
      <w:bCs/>
      <w:sz w:val="20"/>
      <w:szCs w:val="20"/>
    </w:rPr>
  </w:style>
  <w:style w:type="paragraph" w:styleId="Header">
    <w:name w:val="header"/>
    <w:basedOn w:val="Normal"/>
    <w:link w:val="HeaderChar"/>
    <w:uiPriority w:val="99"/>
    <w:unhideWhenUsed/>
    <w:rsid w:val="00D91945"/>
    <w:pPr>
      <w:tabs>
        <w:tab w:val="center" w:pos="4680"/>
        <w:tab w:val="right" w:pos="9360"/>
      </w:tabs>
    </w:pPr>
  </w:style>
  <w:style w:type="character" w:customStyle="1" w:styleId="HeaderChar">
    <w:name w:val="Header Char"/>
    <w:basedOn w:val="DefaultParagraphFont"/>
    <w:link w:val="Header"/>
    <w:uiPriority w:val="99"/>
    <w:rsid w:val="00D91945"/>
  </w:style>
  <w:style w:type="paragraph" w:styleId="Footer">
    <w:name w:val="footer"/>
    <w:basedOn w:val="Normal"/>
    <w:link w:val="FooterChar"/>
    <w:uiPriority w:val="99"/>
    <w:unhideWhenUsed/>
    <w:rsid w:val="00D91945"/>
    <w:pPr>
      <w:tabs>
        <w:tab w:val="center" w:pos="4680"/>
        <w:tab w:val="right" w:pos="9360"/>
      </w:tabs>
    </w:pPr>
  </w:style>
  <w:style w:type="character" w:customStyle="1" w:styleId="FooterChar">
    <w:name w:val="Footer Char"/>
    <w:basedOn w:val="DefaultParagraphFont"/>
    <w:link w:val="Footer"/>
    <w:uiPriority w:val="99"/>
    <w:rsid w:val="00D91945"/>
  </w:style>
  <w:style w:type="paragraph" w:customStyle="1" w:styleId="bodytex2">
    <w:name w:val="bodytex2"/>
    <w:basedOn w:val="Normal"/>
    <w:rsid w:val="00D91945"/>
    <w:pPr>
      <w:spacing w:before="100" w:beforeAutospacing="1" w:after="100" w:afterAutospacing="1"/>
    </w:pPr>
    <w:rPr>
      <w:rFonts w:ascii="Verdana" w:eastAsia="Times New Roman" w:hAnsi="Verdana" w:cs="Times New Roman"/>
      <w:b/>
      <w:bCs/>
      <w:color w:val="000000"/>
      <w:sz w:val="18"/>
      <w:szCs w:val="18"/>
    </w:rPr>
  </w:style>
  <w:style w:type="character" w:customStyle="1" w:styleId="st">
    <w:name w:val="st"/>
    <w:basedOn w:val="DefaultParagraphFont"/>
    <w:rsid w:val="00D91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30413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reativecommons.org/licenses/by-nc-sa/4.0/" TargetMode="External"/><Relationship Id="rId21" Type="http://schemas.openxmlformats.org/officeDocument/2006/relationships/hyperlink" Target="file:///G:\Guttman%20Community%20College\EoW%20Projects\Ethnography%20Made%20Easy\Book%20files\Ethnography%20Book%20File\Archive\Glossary.docx" TargetMode="External"/><Relationship Id="rId42" Type="http://schemas.openxmlformats.org/officeDocument/2006/relationships/hyperlink" Target="https://milnepublishing.geneseo.edu/teaching-autoethnography/chapter/5-memorycharacter-essays/" TargetMode="External"/><Relationship Id="rId47" Type="http://schemas.openxmlformats.org/officeDocument/2006/relationships/image" Target="media/image3.jpeg"/><Relationship Id="rId63" Type="http://schemas.openxmlformats.org/officeDocument/2006/relationships/hyperlink" Target="https://opensource.org/licenses" TargetMode="External"/><Relationship Id="rId68" Type="http://schemas.openxmlformats.org/officeDocument/2006/relationships/image" Target="media/image9.jpeg"/><Relationship Id="rId84" Type="http://schemas.openxmlformats.org/officeDocument/2006/relationships/hyperlink" Target="http://www.qualitative-research.net/index.php/fqs/about/displayMembership/2" TargetMode="External"/><Relationship Id="rId89" Type="http://schemas.openxmlformats.org/officeDocument/2006/relationships/hyperlink" Target="http://www.qualitative-research.net/index.php/fqs/about/editorialTeam" TargetMode="External"/><Relationship Id="rId112" Type="http://schemas.openxmlformats.org/officeDocument/2006/relationships/theme" Target="theme/theme1.xml"/><Relationship Id="rId16" Type="http://schemas.openxmlformats.org/officeDocument/2006/relationships/hyperlink" Target="file:///G:\Guttman%20Community%20College\EoW%20Projects\Ethnography%20Made%20Easy\Book%20files\Ethnography%20Book%20File\Archive\SensoryEthn.docx" TargetMode="External"/><Relationship Id="rId107" Type="http://schemas.openxmlformats.org/officeDocument/2006/relationships/image" Target="media/image19.jpeg"/><Relationship Id="rId11" Type="http://schemas.openxmlformats.org/officeDocument/2006/relationships/hyperlink" Target="file:///G:\Guttman%20Community%20College\EoW%20Projects\Ethnography%20Made%20Easy\Book%20files\Ethnography%20Book%20File\Archive\Autoethnography.docx" TargetMode="External"/><Relationship Id="rId32" Type="http://schemas.openxmlformats.org/officeDocument/2006/relationships/hyperlink" Target="http://www.qualitative-research.net/index.php/fqs/about/displayMembership/2" TargetMode="External"/><Relationship Id="rId37" Type="http://schemas.openxmlformats.org/officeDocument/2006/relationships/hyperlink" Target="http://nbn-resolving.de/urn:nbn:de:0114-fqs1101119" TargetMode="External"/><Relationship Id="rId53" Type="http://schemas.openxmlformats.org/officeDocument/2006/relationships/hyperlink" Target="http://ohsr.od.nih.gov/guidelines/belmont.html" TargetMode="External"/><Relationship Id="rId58" Type="http://schemas.openxmlformats.org/officeDocument/2006/relationships/hyperlink" Target="https://ora.ox.ac.uk/objects/uuid:88cdfda3-5be0-4a32-9cd0-998be6c25186" TargetMode="External"/><Relationship Id="rId74" Type="http://schemas.openxmlformats.org/officeDocument/2006/relationships/hyperlink" Target="https://cnx.org/contents/Sr8Ev5Og@10.16:F_mjYFfh@24/Preface" TargetMode="External"/><Relationship Id="rId79" Type="http://schemas.openxmlformats.org/officeDocument/2006/relationships/image" Target="media/image15.png"/><Relationship Id="rId102" Type="http://schemas.openxmlformats.org/officeDocument/2006/relationships/hyperlink" Target="https://milnepublishing.geneseo.edu/teaching-autoethnography/chapter/5-memorycharacter-essays/" TargetMode="External"/><Relationship Id="rId5" Type="http://schemas.openxmlformats.org/officeDocument/2006/relationships/webSettings" Target="webSettings.xml"/><Relationship Id="rId90" Type="http://schemas.openxmlformats.org/officeDocument/2006/relationships/hyperlink" Target="http://www.qualitative-research.net/index.php/fqs/about/displayMembership/2" TargetMode="External"/><Relationship Id="rId95" Type="http://schemas.openxmlformats.org/officeDocument/2006/relationships/hyperlink" Target="https://milnepublishing.geneseo.edu/teaching-autoethnography/chapter/5-memorycharacter-essays/" TargetMode="External"/><Relationship Id="rId22" Type="http://schemas.openxmlformats.org/officeDocument/2006/relationships/hyperlink" Target="file:///G:\Guttman%20Community%20College\EoW%20Projects\Ethnography%20Made%20Easy\Book%20files\Ethnography%20Book%20File\Archive\References.docx" TargetMode="External"/><Relationship Id="rId27" Type="http://schemas.openxmlformats.org/officeDocument/2006/relationships/hyperlink" Target="https://www.ted.com/talks/tricia_wang_the_human_insights_missing_from_big_data/transcript" TargetMode="External"/><Relationship Id="rId43" Type="http://schemas.openxmlformats.org/officeDocument/2006/relationships/hyperlink" Target="https://creativecommons.org/licenses/by-nc-sa/4.0/" TargetMode="External"/><Relationship Id="rId48" Type="http://schemas.openxmlformats.org/officeDocument/2006/relationships/hyperlink" Target="https://open.lib.umn.edu/app/uploads/sites/173/2016/03/2.4.0.jpg" TargetMode="External"/><Relationship Id="rId64" Type="http://schemas.openxmlformats.org/officeDocument/2006/relationships/hyperlink" Target="https://ora.ox.ac.uk/objects/uuid:88cdfda3-5be0-4a32-9cd0-998be6c25186" TargetMode="External"/><Relationship Id="rId69" Type="http://schemas.openxmlformats.org/officeDocument/2006/relationships/image" Target="media/image10.jpeg"/><Relationship Id="rId80" Type="http://schemas.openxmlformats.org/officeDocument/2006/relationships/image" Target="media/image16.emf"/><Relationship Id="rId85" Type="http://schemas.openxmlformats.org/officeDocument/2006/relationships/hyperlink" Target="http://law.ubalt.edu/downloads/" TargetMode="External"/><Relationship Id="rId12" Type="http://schemas.openxmlformats.org/officeDocument/2006/relationships/hyperlink" Target="file:///G:\Guttman%20Community%20College\EoW%20Projects\Ethnography%20Made%20Easy\Book%20files\Ethnography%20Book%20File\Archive\Ethics.docx" TargetMode="External"/><Relationship Id="rId17" Type="http://schemas.openxmlformats.org/officeDocument/2006/relationships/hyperlink" Target="file:///G:\Guttman%20Community%20College\EoW%20Projects\Ethnography%20Made%20Easy\Book%20files\Ethnography%20Book%20File\Archive\PObservation.docx" TargetMode="External"/><Relationship Id="rId33" Type="http://schemas.openxmlformats.org/officeDocument/2006/relationships/hyperlink" Target="http://www.qualitative-research.net/index.php/fqs/about/editorialTeam" TargetMode="External"/><Relationship Id="rId38" Type="http://schemas.openxmlformats.org/officeDocument/2006/relationships/hyperlink" Target="https://milnepublishing.geneseo.edu/teaching-autoethnography/chapter/5-memorycharacter-essays/" TargetMode="External"/><Relationship Id="rId59" Type="http://schemas.openxmlformats.org/officeDocument/2006/relationships/image" Target="media/image5.png"/><Relationship Id="rId103" Type="http://schemas.openxmlformats.org/officeDocument/2006/relationships/hyperlink" Target="https://creativecommons.org/licenses/by-nc-sa/4.0/" TargetMode="External"/><Relationship Id="rId108" Type="http://schemas.openxmlformats.org/officeDocument/2006/relationships/image" Target="media/image20.jpeg"/><Relationship Id="rId54" Type="http://schemas.openxmlformats.org/officeDocument/2006/relationships/hyperlink" Target="http://history.nih.gov/research/downloads/PL93-348.pdf" TargetMode="External"/><Relationship Id="rId70" Type="http://schemas.openxmlformats.org/officeDocument/2006/relationships/image" Target="media/image11.jpeg"/><Relationship Id="rId75" Type="http://schemas.openxmlformats.org/officeDocument/2006/relationships/hyperlink" Target="https://milnepublishing.geneseo.edu/teaching-autoethnography/chapter/7-the-autoethnography-project/" TargetMode="External"/><Relationship Id="rId91" Type="http://schemas.openxmlformats.org/officeDocument/2006/relationships/hyperlink" Target="http://www.qualitative-research.net/index.php/fqs/about/displayMembership/2" TargetMode="External"/><Relationship Id="rId96" Type="http://schemas.openxmlformats.org/officeDocument/2006/relationships/hyperlink" Target="https://milnepublishing.geneseo.edu/teaching-autoethnography/chapter/5-memorycharacter-essay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G:\Guttman%20Community%20College\EoW%20Projects\Ethnography%20Made%20Easy\Book%20files\Ethnography%20Book%20File\Archive\Observations.docx" TargetMode="External"/><Relationship Id="rId23" Type="http://schemas.openxmlformats.org/officeDocument/2006/relationships/hyperlink" Target="file:///G:\Guttman%20Community%20College\EoW%20Projects\Ethnography%20Made%20Easy\Book%20files\Ethnography%20Book%20File\Archive\Bios.docx" TargetMode="External"/><Relationship Id="rId28" Type="http://schemas.openxmlformats.org/officeDocument/2006/relationships/hyperlink" Target="https://blog.simonassociates.net/podcast/043-jay-hasbrouck-thinking-like-an-anthropologist" TargetMode="External"/><Relationship Id="rId36" Type="http://schemas.openxmlformats.org/officeDocument/2006/relationships/hyperlink" Target="http://www.qualitative-research.net/index.php/fqs/about/displayMembership/2" TargetMode="External"/><Relationship Id="rId49" Type="http://schemas.openxmlformats.org/officeDocument/2006/relationships/image" Target="media/image4.jpeg"/><Relationship Id="rId57" Type="http://schemas.openxmlformats.org/officeDocument/2006/relationships/hyperlink" Target="http://www.hhs.gov/ohrp/humansubjects/guidance/45cfr46.html" TargetMode="External"/><Relationship Id="rId106" Type="http://schemas.openxmlformats.org/officeDocument/2006/relationships/image" Target="media/image18.jpeg"/><Relationship Id="rId10" Type="http://schemas.openxmlformats.org/officeDocument/2006/relationships/hyperlink" Target="file:///G:\Guttman%20Community%20College\EoW%20Projects\Ethnography%20Made%20Easy\Book%20files\Ethnography%20Book%20File\Archive\Mindset.docx" TargetMode="External"/><Relationship Id="rId31" Type="http://schemas.openxmlformats.org/officeDocument/2006/relationships/hyperlink" Target="http://nbn-resolving.de/urn:nbn:de:0114-fqs1101108" TargetMode="External"/><Relationship Id="rId44" Type="http://schemas.openxmlformats.org/officeDocument/2006/relationships/hyperlink" Target="https://open.lib.umn.edu/app/uploads/sites/173/2015/07/b0c681437c1e3cb2ab79ad74ed1fa4ff.jpg" TargetMode="External"/><Relationship Id="rId52" Type="http://schemas.openxmlformats.org/officeDocument/2006/relationships/hyperlink" Target="http://ohsr.od.nih.gov/guidelines/belmont.html" TargetMode="External"/><Relationship Id="rId60" Type="http://schemas.openxmlformats.org/officeDocument/2006/relationships/image" Target="media/image6.png"/><Relationship Id="rId65" Type="http://schemas.openxmlformats.org/officeDocument/2006/relationships/hyperlink" Target="http://www.engagingcommunities.org/writing-fieldnotes/4a-rhetorical-strategies-for-writing-observations/" TargetMode="External"/><Relationship Id="rId73" Type="http://schemas.openxmlformats.org/officeDocument/2006/relationships/hyperlink" Target="https://www.oercommons.org/courseware/module/11760/overview" TargetMode="External"/><Relationship Id="rId78" Type="http://schemas.openxmlformats.org/officeDocument/2006/relationships/image" Target="media/image14.png"/><Relationship Id="rId81" Type="http://schemas.openxmlformats.org/officeDocument/2006/relationships/package" Target="embeddings/Microsoft_Word_Document.docx"/><Relationship Id="rId86" Type="http://schemas.openxmlformats.org/officeDocument/2006/relationships/hyperlink" Target="http://nbn-resolving.de/urn:nbn:de:0114-fqs1101108" TargetMode="External"/><Relationship Id="rId94" Type="http://schemas.openxmlformats.org/officeDocument/2006/relationships/hyperlink" Target="https://blog.simonassociates.net/podcast/043-jay-hasbrouck-thinking-like-an-anthropologist" TargetMode="External"/><Relationship Id="rId99" Type="http://schemas.openxmlformats.org/officeDocument/2006/relationships/hyperlink" Target="https://creativecommons.org/licenses/by-nc-sa/4.0/" TargetMode="External"/><Relationship Id="rId101" Type="http://schemas.openxmlformats.org/officeDocument/2006/relationships/hyperlink" Target="https://cnx.org/contents/Sr8Ev5Og@10.16:F_mjYFfh@24/Preface" TargetMode="External"/><Relationship Id="rId4" Type="http://schemas.openxmlformats.org/officeDocument/2006/relationships/settings" Target="settings.xml"/><Relationship Id="rId9" Type="http://schemas.openxmlformats.org/officeDocument/2006/relationships/hyperlink" Target="file:///G:\Guttman%20Community%20College\EoW%20Projects\Ethnography%20Made%20Easy\Book%20files\Ethnography%20Book%20File\Archive\WhatEthnography.docx" TargetMode="External"/><Relationship Id="rId13" Type="http://schemas.openxmlformats.org/officeDocument/2006/relationships/hyperlink" Target="file:///G:\Guttman%20Community%20College\EoW%20Projects\Ethnography%20Made%20Easy\Book%20files\Ethnography%20Book%20File\Archive\Mapping.docx" TargetMode="External"/><Relationship Id="rId18" Type="http://schemas.openxmlformats.org/officeDocument/2006/relationships/hyperlink" Target="file:///G:\Guttman%20Community%20College\EoW%20Projects\Ethnography%20Made%20Easy\Book%20files\Ethnography%20Book%20File\Archive\Interviews.docx" TargetMode="External"/><Relationship Id="rId39" Type="http://schemas.openxmlformats.org/officeDocument/2006/relationships/hyperlink" Target="https://milnepublishing.geneseo.edu/teaching-autoethnography/chapter/5-memorycharacter-essays/" TargetMode="External"/><Relationship Id="rId109" Type="http://schemas.openxmlformats.org/officeDocument/2006/relationships/hyperlink" Target="https://hbcuoralhistoryvideoproject.org/" TargetMode="External"/><Relationship Id="rId34" Type="http://schemas.openxmlformats.org/officeDocument/2006/relationships/hyperlink" Target="http://www.qualitative-research.net/index.php/fqs/about/editorialTeam" TargetMode="External"/><Relationship Id="rId50" Type="http://schemas.openxmlformats.org/officeDocument/2006/relationships/hyperlink" Target="https://www.flickr.com/photos/43566645@N03/4108950284/" TargetMode="External"/><Relationship Id="rId55" Type="http://schemas.openxmlformats.org/officeDocument/2006/relationships/hyperlink" Target="http://www.hhs.gov/ohrp/policy/populations" TargetMode="External"/><Relationship Id="rId76" Type="http://schemas.openxmlformats.org/officeDocument/2006/relationships/hyperlink" Target="https://creativecommons.org/licenses/by-nc-sa/4.0/" TargetMode="External"/><Relationship Id="rId97" Type="http://schemas.openxmlformats.org/officeDocument/2006/relationships/hyperlink" Target="https://www.ted.com/talks/tricia_wang_the_human_insights_missing_from_big_data/transcript" TargetMode="External"/><Relationship Id="rId104" Type="http://schemas.openxmlformats.org/officeDocument/2006/relationships/hyperlink" Target="http://nbn-resolving.de/urn:nbn:de:0114-fqs0901308" TargetMode="External"/><Relationship Id="rId7" Type="http://schemas.openxmlformats.org/officeDocument/2006/relationships/endnotes" Target="endnotes.xml"/><Relationship Id="rId71" Type="http://schemas.openxmlformats.org/officeDocument/2006/relationships/image" Target="media/image12.png"/><Relationship Id="rId92" Type="http://schemas.openxmlformats.org/officeDocument/2006/relationships/hyperlink" Target="http://nbn-resolving.de/urn:nbn:de:0114-fqs1101119" TargetMode="External"/><Relationship Id="rId2" Type="http://schemas.openxmlformats.org/officeDocument/2006/relationships/numbering" Target="numbering.xml"/><Relationship Id="rId29" Type="http://schemas.openxmlformats.org/officeDocument/2006/relationships/hyperlink" Target="http://www.qualitative-research.net/index.php/fqs/about/displayMembership/2" TargetMode="External"/><Relationship Id="rId24" Type="http://schemas.openxmlformats.org/officeDocument/2006/relationships/hyperlink" Target="http://law.ubalt.edu/downloads/" TargetMode="External"/><Relationship Id="rId40" Type="http://schemas.openxmlformats.org/officeDocument/2006/relationships/hyperlink" Target="https://milnepublishing.geneseo.edu/teaching-autoethnography/chapter/5-memorycharacter-essays/" TargetMode="External"/><Relationship Id="rId45" Type="http://schemas.openxmlformats.org/officeDocument/2006/relationships/image" Target="media/image2.jpeg"/><Relationship Id="rId66" Type="http://schemas.openxmlformats.org/officeDocument/2006/relationships/hyperlink" Target="https://anthropod.net/2013/08/14/a-template-for-writing-fieldnotes/" TargetMode="External"/><Relationship Id="rId87" Type="http://schemas.openxmlformats.org/officeDocument/2006/relationships/hyperlink" Target="http://www.qualitative-research.net/index.php/fqs/about/displayMembership/2" TargetMode="External"/><Relationship Id="rId110" Type="http://schemas.openxmlformats.org/officeDocument/2006/relationships/image" Target="media/image21.jpeg"/><Relationship Id="rId61" Type="http://schemas.openxmlformats.org/officeDocument/2006/relationships/image" Target="media/image7.png"/><Relationship Id="rId82" Type="http://schemas.openxmlformats.org/officeDocument/2006/relationships/hyperlink" Target="http://www.qualitative-research.net/index.php/fqs/about/displayMembership/2" TargetMode="External"/><Relationship Id="rId19" Type="http://schemas.openxmlformats.org/officeDocument/2006/relationships/hyperlink" Target="file:///G:\Guttman%20Community%20College\EoW%20Projects\Ethnography%20Made%20Easy\Book%20files\Ethnography%20Book%20File\Archive\Coding.docx" TargetMode="External"/><Relationship Id="rId14" Type="http://schemas.openxmlformats.org/officeDocument/2006/relationships/hyperlink" Target="file:///G:\Guttman%20Community%20College\EoW%20Projects\Ethnography%20Made%20Easy\Book%20files\Ethnography%20Book%20File\Archive\Data.docx" TargetMode="External"/><Relationship Id="rId30" Type="http://schemas.openxmlformats.org/officeDocument/2006/relationships/hyperlink" Target="http://www.qualitative-research.net/index.php/fqs/about/displayMembership/2" TargetMode="External"/><Relationship Id="rId35" Type="http://schemas.openxmlformats.org/officeDocument/2006/relationships/hyperlink" Target="http://www.qualitative-research.net/index.php/fqs/about/displayMembership/2" TargetMode="External"/><Relationship Id="rId56" Type="http://schemas.openxmlformats.org/officeDocument/2006/relationships/hyperlink" Target="http://www.hhs.gov/ohrp/archive/irb/irb_glossary.htm" TargetMode="External"/><Relationship Id="rId77" Type="http://schemas.openxmlformats.org/officeDocument/2006/relationships/image" Target="media/image13.png"/><Relationship Id="rId100" Type="http://schemas.openxmlformats.org/officeDocument/2006/relationships/hyperlink" Target="http://ebookcentral.proquest.com/lib/mcphs/detail.action?docID=1127710" TargetMode="External"/><Relationship Id="rId105" Type="http://schemas.openxmlformats.org/officeDocument/2006/relationships/image" Target="media/image17.jpeg"/><Relationship Id="rId8" Type="http://schemas.openxmlformats.org/officeDocument/2006/relationships/image" Target="media/image1.png"/><Relationship Id="rId51" Type="http://schemas.openxmlformats.org/officeDocument/2006/relationships/hyperlink" Target="http://www.insidehighered.com/news/2009/12/04/demuth" TargetMode="External"/><Relationship Id="rId72" Type="http://schemas.openxmlformats.org/officeDocument/2006/relationships/hyperlink" Target="https://resources.saylor.org/wwwresources/archived/site/textbooks/Principles%20of%20Sociological%20Inquiry.pdf" TargetMode="External"/><Relationship Id="rId93" Type="http://schemas.openxmlformats.org/officeDocument/2006/relationships/hyperlink" Target="https://www.oercommons.org/courseware/module/11760/overview" TargetMode="External"/><Relationship Id="rId98" Type="http://schemas.openxmlformats.org/officeDocument/2006/relationships/hyperlink" Target="https://milnepublishing.geneseo.edu/teaching-autoethnography/chapter/5-memorycharacter-essays/" TargetMode="External"/><Relationship Id="rId3" Type="http://schemas.openxmlformats.org/officeDocument/2006/relationships/styles" Target="styles.xml"/><Relationship Id="rId25" Type="http://schemas.openxmlformats.org/officeDocument/2006/relationships/hyperlink" Target="https://milnepublishing.geneseo.edu/teaching-autoethnography/chapter/7-the-autoethnography-project/" TargetMode="External"/><Relationship Id="rId46" Type="http://schemas.openxmlformats.org/officeDocument/2006/relationships/hyperlink" Target="https://commons.wikimedia.org/wiki/File:Tuskegee-syphilis-experiment-test-subjects.gif" TargetMode="External"/><Relationship Id="rId67" Type="http://schemas.openxmlformats.org/officeDocument/2006/relationships/hyperlink" Target="https://www.silearning.eu/wp-content/uploads/2017/04/ethnographic-fieldnotes.pdf" TargetMode="External"/><Relationship Id="rId20" Type="http://schemas.openxmlformats.org/officeDocument/2006/relationships/hyperlink" Target="file:///G:\Guttman%20Community%20College\EoW%20Projects\Ethnography%20Made%20Easy\Book%20files\Ethnography%20Book%20File\Archive\Analysis.docx" TargetMode="External"/><Relationship Id="rId41" Type="http://schemas.openxmlformats.org/officeDocument/2006/relationships/hyperlink" Target="https://creativecommons.org/licenses/by-nc-sa/4.0/" TargetMode="External"/><Relationship Id="rId62" Type="http://schemas.openxmlformats.org/officeDocument/2006/relationships/image" Target="media/image8.png"/><Relationship Id="rId83" Type="http://schemas.openxmlformats.org/officeDocument/2006/relationships/hyperlink" Target="https://resources.saylor.org/wwwresources/archived/site/textbooks/Principles%20of%20Sociological%20Inquiry.pdf" TargetMode="External"/><Relationship Id="rId88" Type="http://schemas.openxmlformats.org/officeDocument/2006/relationships/hyperlink" Target="http://www.qualitative-research.net/index.php/fqs/about/editorialTeam" TargetMode="External"/><Relationship Id="rId111"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yperlink" Target="https://creativecommons.org/licenses/by-nc-sa/4.0/" TargetMode="External"/><Relationship Id="rId18" Type="http://schemas.openxmlformats.org/officeDocument/2006/relationships/hyperlink" Target="https://open.lib.umn.edu/sociology" TargetMode="External"/><Relationship Id="rId3" Type="http://schemas.openxmlformats.org/officeDocument/2006/relationships/hyperlink" Target="https://milnepublishing.geneseo.edu/teaching-autoethnography/chapter/7-the-autoethnography-project/" TargetMode="External"/><Relationship Id="rId21" Type="http://schemas.openxmlformats.org/officeDocument/2006/relationships/hyperlink" Target="https://creativecommons.org/licenses/by-nc-sa/4.0/" TargetMode="External"/><Relationship Id="rId7" Type="http://schemas.openxmlformats.org/officeDocument/2006/relationships/hyperlink" Target="https://milnepublishing.geneseo.edu/teaching-autoethnography/chapter/7-the-autoethnography-project/" TargetMode="External"/><Relationship Id="rId12" Type="http://schemas.openxmlformats.org/officeDocument/2006/relationships/hyperlink" Target="https://open.lib.umn.edu/sociology" TargetMode="External"/><Relationship Id="rId17" Type="http://schemas.openxmlformats.org/officeDocument/2006/relationships/hyperlink" Target="https://creativecommons.org/licenses/by-nc-sa/4.0/" TargetMode="External"/><Relationship Id="rId2" Type="http://schemas.openxmlformats.org/officeDocument/2006/relationships/hyperlink" Target="http://nbn-resolving.de/urn:nbn:de:0114-fqs1101108" TargetMode="External"/><Relationship Id="rId16" Type="http://schemas.openxmlformats.org/officeDocument/2006/relationships/hyperlink" Target="https://open.lib.umn.edu/sociology" TargetMode="External"/><Relationship Id="rId20" Type="http://schemas.openxmlformats.org/officeDocument/2006/relationships/hyperlink" Target="https://open.lib.umn.edu/sociology" TargetMode="External"/><Relationship Id="rId1" Type="http://schemas.openxmlformats.org/officeDocument/2006/relationships/hyperlink" Target="http://nbn-resolving.de/urn:nbn:de:0114-fqs1101108" TargetMode="External"/><Relationship Id="rId6" Type="http://schemas.openxmlformats.org/officeDocument/2006/relationships/hyperlink" Target="https://creativecommons.org/licenses/by-nc-sa/4.0/" TargetMode="External"/><Relationship Id="rId11" Type="http://schemas.openxmlformats.org/officeDocument/2006/relationships/hyperlink" Target="http://nbn-resolving.de/urn:nbn:de:0114-fqs1101108" TargetMode="External"/><Relationship Id="rId5" Type="http://schemas.openxmlformats.org/officeDocument/2006/relationships/hyperlink" Target="https://milnepublishing.geneseo.edu/teaching-autoethnography/chapter/7-the-autoethnography-project/" TargetMode="External"/><Relationship Id="rId15" Type="http://schemas.openxmlformats.org/officeDocument/2006/relationships/hyperlink" Target="https://creativecommons.org/licenses/by-nc-sa/4.0/" TargetMode="External"/><Relationship Id="rId10" Type="http://schemas.openxmlformats.org/officeDocument/2006/relationships/hyperlink" Target="https://creativecommons.org/licenses/by-nc-sa/4.0/" TargetMode="External"/><Relationship Id="rId19"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 Id="rId9" Type="http://schemas.openxmlformats.org/officeDocument/2006/relationships/hyperlink" Target="https://milnepublishing.geneseo.edu/teaching-autoethnography/chapter/7-the-autoethnography-project/" TargetMode="External"/><Relationship Id="rId14" Type="http://schemas.openxmlformats.org/officeDocument/2006/relationships/hyperlink" Target="https://open.lib.umn.edu/soci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2F662-6E2A-4EF3-93C3-00A0ED7ED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130</Pages>
  <Words>55162</Words>
  <Characters>314424</Characters>
  <Application>Microsoft Office Word</Application>
  <DocSecurity>0</DocSecurity>
  <Lines>2620</Lines>
  <Paragraphs>737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Alia Tyner</cp:lastModifiedBy>
  <cp:revision>4</cp:revision>
  <cp:lastPrinted>2020-06-08T03:14:00Z</cp:lastPrinted>
  <dcterms:created xsi:type="dcterms:W3CDTF">2020-06-07T06:08:00Z</dcterms:created>
  <dcterms:modified xsi:type="dcterms:W3CDTF">2020-06-08T05:55:00Z</dcterms:modified>
</cp:coreProperties>
</file>